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BE7A" w14:textId="77777777" w:rsidR="006B2DF5" w:rsidRPr="00822C8A" w:rsidRDefault="00822C8A" w:rsidP="00822C8A">
      <w:pPr>
        <w:jc w:val="center"/>
        <w:rPr>
          <w:b/>
          <w:sz w:val="28"/>
          <w:szCs w:val="28"/>
        </w:rPr>
      </w:pPr>
      <w:r w:rsidRPr="00822C8A">
        <w:rPr>
          <w:b/>
          <w:sz w:val="28"/>
          <w:szCs w:val="28"/>
        </w:rPr>
        <w:t>LEI 7.058/22 – DF</w:t>
      </w:r>
    </w:p>
    <w:p w14:paraId="6C7017D3" w14:textId="77777777" w:rsidR="00822C8A" w:rsidRPr="00822C8A" w:rsidRDefault="00822C8A" w:rsidP="00822C8A">
      <w:pPr>
        <w:jc w:val="center"/>
        <w:rPr>
          <w:b/>
          <w:sz w:val="28"/>
          <w:szCs w:val="28"/>
        </w:rPr>
      </w:pPr>
    </w:p>
    <w:p w14:paraId="234EDAC3" w14:textId="77777777" w:rsidR="00822C8A" w:rsidRDefault="00822C8A" w:rsidP="00822C8A">
      <w:pPr>
        <w:jc w:val="center"/>
        <w:rPr>
          <w:b/>
          <w:sz w:val="28"/>
          <w:szCs w:val="28"/>
        </w:rPr>
      </w:pPr>
      <w:r w:rsidRPr="00822C8A">
        <w:rPr>
          <w:b/>
          <w:sz w:val="28"/>
          <w:szCs w:val="28"/>
        </w:rPr>
        <w:t>ARGUMENTOS DE DEFESA</w:t>
      </w:r>
    </w:p>
    <w:p w14:paraId="232B2DE7" w14:textId="77777777" w:rsidR="00822C8A" w:rsidRDefault="00822C8A" w:rsidP="00822C8A">
      <w:pPr>
        <w:jc w:val="center"/>
        <w:rPr>
          <w:b/>
          <w:sz w:val="28"/>
          <w:szCs w:val="28"/>
        </w:rPr>
      </w:pPr>
    </w:p>
    <w:p w14:paraId="4A8CC033" w14:textId="77777777" w:rsidR="00822C8A" w:rsidRPr="00822C8A" w:rsidRDefault="00822C8A" w:rsidP="00822C8A">
      <w:pPr>
        <w:jc w:val="center"/>
        <w:rPr>
          <w:b/>
          <w:i/>
          <w:sz w:val="28"/>
          <w:szCs w:val="28"/>
        </w:rPr>
      </w:pPr>
      <w:bookmarkStart w:id="1" w:name="_Hlk106866294"/>
      <w:r w:rsidRPr="00822C8A">
        <w:rPr>
          <w:b/>
          <w:i/>
          <w:sz w:val="28"/>
          <w:szCs w:val="28"/>
        </w:rPr>
        <w:t>Mário Ricardo Machado Duarte</w:t>
      </w:r>
    </w:p>
    <w:p w14:paraId="14B630BB" w14:textId="77777777" w:rsidR="00822C8A" w:rsidRDefault="00822C8A" w:rsidP="00822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Advogado Externo da ACAD BRASIL</w:t>
      </w:r>
    </w:p>
    <w:p w14:paraId="2C78455C" w14:textId="77777777" w:rsidR="001249A8" w:rsidRPr="00822C8A" w:rsidRDefault="001249A8" w:rsidP="00822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Reprodução do conteúdo livre e autorizada</w:t>
      </w:r>
    </w:p>
    <w:bookmarkEnd w:id="1"/>
    <w:p w14:paraId="1D09A295" w14:textId="77777777" w:rsidR="00F0541F" w:rsidRDefault="00F0541F">
      <w:pPr>
        <w:pBdr>
          <w:bottom w:val="single" w:sz="12" w:space="1" w:color="auto"/>
        </w:pBdr>
      </w:pPr>
    </w:p>
    <w:p w14:paraId="15AEDE89" w14:textId="77777777" w:rsidR="00822C8A" w:rsidRDefault="00822C8A"/>
    <w:p w14:paraId="709BEE48" w14:textId="77777777" w:rsidR="00F0541F" w:rsidRDefault="00F0541F"/>
    <w:p w14:paraId="2911290F" w14:textId="77777777" w:rsidR="00F0541F" w:rsidRDefault="00F0541F"/>
    <w:p w14:paraId="1260E351" w14:textId="77777777" w:rsidR="00F0541F" w:rsidRPr="001249A8" w:rsidRDefault="00F0541F" w:rsidP="00F0541F">
      <w:pPr>
        <w:ind w:left="1985"/>
        <w:rPr>
          <w:b/>
        </w:rPr>
      </w:pPr>
      <w:r w:rsidRPr="001249A8">
        <w:rPr>
          <w:b/>
        </w:rPr>
        <w:t xml:space="preserve">I – </w:t>
      </w:r>
      <w:r w:rsidR="004C74B2" w:rsidRPr="001249A8">
        <w:rPr>
          <w:b/>
        </w:rPr>
        <w:t xml:space="preserve">DA PRETENSÃO </w:t>
      </w:r>
      <w:r w:rsidR="00DD6E4C" w:rsidRPr="001249A8">
        <w:rPr>
          <w:b/>
        </w:rPr>
        <w:t>INICIAL</w:t>
      </w:r>
    </w:p>
    <w:p w14:paraId="29FD5D1D" w14:textId="77777777" w:rsidR="00F0541F" w:rsidRPr="001249A8" w:rsidRDefault="00F0541F" w:rsidP="00F0541F">
      <w:pPr>
        <w:rPr>
          <w:b/>
        </w:rPr>
      </w:pPr>
    </w:p>
    <w:p w14:paraId="77E9EE55" w14:textId="77777777" w:rsidR="00F0541F" w:rsidRPr="001249A8" w:rsidRDefault="00F0541F" w:rsidP="00F0541F">
      <w:pPr>
        <w:pStyle w:val="Cabealho"/>
        <w:tabs>
          <w:tab w:val="left" w:pos="2552"/>
        </w:tabs>
        <w:suppressAutoHyphens/>
        <w:jc w:val="both"/>
        <w:rPr>
          <w:b/>
        </w:rPr>
      </w:pPr>
    </w:p>
    <w:p w14:paraId="64693A0C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Em síntese, a</w:t>
      </w:r>
      <w:r w:rsidR="00DD6E4C" w:rsidRPr="001249A8">
        <w:t xml:space="preserve"> pretensão</w:t>
      </w:r>
      <w:r w:rsidRPr="001249A8">
        <w:t xml:space="preserve"> inicial sustenta</w:t>
      </w:r>
      <w:r w:rsidR="00D6351D" w:rsidRPr="001249A8">
        <w:t xml:space="preserve"> que</w:t>
      </w:r>
      <w:r w:rsidR="002B65AC" w:rsidRPr="001249A8">
        <w:t>,</w:t>
      </w:r>
      <w:r w:rsidRPr="001249A8">
        <w:t xml:space="preserve"> ao recusar acesso livre e gratuito de profissional de educação física às suas dependências, com o objetivo de acompanhar e assistir clientes, </w:t>
      </w:r>
      <w:r w:rsidR="00D6351D" w:rsidRPr="001249A8">
        <w:t xml:space="preserve">a Ré </w:t>
      </w:r>
      <w:r w:rsidRPr="001249A8">
        <w:t>estaria a vi</w:t>
      </w:r>
      <w:r w:rsidR="00FF1673" w:rsidRPr="001249A8">
        <w:t>olar a Lei Distrital nº 7.058/</w:t>
      </w:r>
      <w:r w:rsidRPr="001249A8">
        <w:t>22. Pleiteia-se, em razão disso, provimento que assegure o exercício desse suposto direito.</w:t>
      </w:r>
    </w:p>
    <w:p w14:paraId="33E4D246" w14:textId="77777777" w:rsidR="00DD6E4C" w:rsidRPr="001249A8" w:rsidRDefault="00DD6E4C" w:rsidP="00DD6E4C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6C63A131" w14:textId="77777777" w:rsidR="00DD6E4C" w:rsidRPr="001249A8" w:rsidRDefault="00DD6E4C" w:rsidP="00DD6E4C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No quanto interessa ao objeto da presente ação, referida lei acha-se assim redigida:</w:t>
      </w:r>
    </w:p>
    <w:p w14:paraId="452BC5DE" w14:textId="77777777" w:rsidR="00DD6E4C" w:rsidRPr="001249A8" w:rsidRDefault="00DD6E4C" w:rsidP="00DD6E4C">
      <w:pPr>
        <w:pStyle w:val="Cabealho"/>
        <w:tabs>
          <w:tab w:val="left" w:pos="426"/>
          <w:tab w:val="left" w:pos="2552"/>
        </w:tabs>
        <w:suppressAutoHyphens/>
        <w:jc w:val="both"/>
      </w:pPr>
    </w:p>
    <w:p w14:paraId="3B52B33C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Art. 1º Esta Lei disciplina a relação de consumo e a prestação dos serviços de prevenção de doenças, promoção do bem-estar e proteção e recuperação da saúde e da qualidade de vida por entidades públicas ou privadas, de caráter filantrópico ou não, que atuam no Distrito Federal.</w:t>
      </w:r>
    </w:p>
    <w:p w14:paraId="6EB2D99D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Parágrafo único. Esta Lei não se aplica à relação médico-paciente de que trata o Conselho Federal de Medicina.</w:t>
      </w:r>
    </w:p>
    <w:p w14:paraId="5E534D8D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Art. 2º Todo consumidor dos serviços de que trata esta Lei tem direito a:</w:t>
      </w:r>
    </w:p>
    <w:p w14:paraId="3CD2FB41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I - prestação de serviço adequado aos seus valores culturais;</w:t>
      </w:r>
    </w:p>
    <w:p w14:paraId="04FDCF13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II - uma segunda opinião ou um parecer emitidos por profissional devidamente habilitado e de sua confiança;</w:t>
      </w:r>
    </w:p>
    <w:p w14:paraId="17FDB2F1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III - ser acompanhado e assistido por profissional de sua confiança.</w:t>
      </w:r>
    </w:p>
    <w:p w14:paraId="7AC69360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§ 1º O profissional de que trata esta Lei deve estar enquadrado nas profissões regulamentadas por lei e relacionadas nas categorias de profissionais de saúde de nível superior estabelecidas pelo Conselho Nacional de Saúde.</w:t>
      </w:r>
    </w:p>
    <w:p w14:paraId="2F10C32F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lastRenderedPageBreak/>
        <w:t>§ 2º Para o exercício dos direitos previstos no caput, poderão ser exigidas a apresentação de documento comprobatório da contratação do profissional particular junto ao estabelecimento e a apresentação de identidade e certidão de regularidade profissional emitida pelo respectivo conselho de classe.</w:t>
      </w:r>
    </w:p>
    <w:p w14:paraId="311CBEE9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§ 3º As entidades não podem cobrar custo extra dos consumidores.</w:t>
      </w:r>
    </w:p>
    <w:p w14:paraId="36D4CC82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§ 4º Poderão ser exigidos dos profissionais particulares o cadastro prévio e a anuência a termo de responsabilidade pelos seus atos profissionais praticados no interior do estabelecimento.</w:t>
      </w:r>
    </w:p>
    <w:p w14:paraId="1CB6653B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Art. 3º As prestadoras dos serviços de que trata esta Lei ficam obrigadas a afixar, em local visível, quadro informativo com os seguintes termos: "O consumidor poderá ser acompanhado e orientado por profissional de sua livre escolha e confiança, sem custo adicional para as partes."</w:t>
      </w:r>
    </w:p>
    <w:p w14:paraId="1C563F49" w14:textId="77777777" w:rsidR="00DD6E4C" w:rsidRPr="001249A8" w:rsidRDefault="00DD6E4C" w:rsidP="00DD6E4C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Parágrafo único. A informação do caput também deve constar, expressamente, no contrato de prestação do serviço.</w:t>
      </w:r>
    </w:p>
    <w:p w14:paraId="33C6857F" w14:textId="77777777" w:rsidR="00F0541F" w:rsidRPr="001249A8" w:rsidRDefault="00F0541F" w:rsidP="00F0541F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61FC38E5" w14:textId="77777777" w:rsidR="00F0541F" w:rsidRPr="001249A8" w:rsidRDefault="00DD6E4C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rPr>
          <w:rFonts w:cs="Arial"/>
          <w:bCs/>
        </w:rPr>
        <w:t>Ao lo</w:t>
      </w:r>
      <w:r w:rsidR="00822C8A" w:rsidRPr="001249A8">
        <w:rPr>
          <w:rFonts w:cs="Arial"/>
          <w:bCs/>
        </w:rPr>
        <w:t>n</w:t>
      </w:r>
      <w:r w:rsidRPr="001249A8">
        <w:rPr>
          <w:rFonts w:cs="Arial"/>
          <w:bCs/>
        </w:rPr>
        <w:t>go desta peça se demonstrará i</w:t>
      </w:r>
      <w:r w:rsidR="00D6351D" w:rsidRPr="001249A8">
        <w:rPr>
          <w:rFonts w:cs="Arial"/>
          <w:bCs/>
        </w:rPr>
        <w:t>mprocede</w:t>
      </w:r>
      <w:r w:rsidR="00032762">
        <w:rPr>
          <w:rFonts w:cs="Arial"/>
          <w:bCs/>
        </w:rPr>
        <w:t>r</w:t>
      </w:r>
      <w:r w:rsidR="004C74B2" w:rsidRPr="001249A8">
        <w:rPr>
          <w:rFonts w:cs="Arial"/>
          <w:bCs/>
        </w:rPr>
        <w:t xml:space="preserve"> por completo a pretensão</w:t>
      </w:r>
      <w:r w:rsidR="00D6351D" w:rsidRPr="001249A8">
        <w:rPr>
          <w:rFonts w:cs="Arial"/>
          <w:bCs/>
        </w:rPr>
        <w:t>, porque</w:t>
      </w:r>
      <w:r w:rsidR="00D6351D" w:rsidRPr="001249A8">
        <w:t>:</w:t>
      </w:r>
    </w:p>
    <w:p w14:paraId="241F8847" w14:textId="77777777" w:rsidR="00D6351D" w:rsidRPr="001249A8" w:rsidRDefault="00D6351D" w:rsidP="00D6351D">
      <w:pPr>
        <w:pStyle w:val="PargrafodaLista"/>
      </w:pPr>
    </w:p>
    <w:p w14:paraId="68BBD286" w14:textId="77777777" w:rsidR="00D6351D" w:rsidRPr="001249A8" w:rsidRDefault="00F24C1C" w:rsidP="00D6351D">
      <w:pPr>
        <w:pStyle w:val="Cabealho"/>
        <w:numPr>
          <w:ilvl w:val="0"/>
          <w:numId w:val="5"/>
        </w:numPr>
        <w:tabs>
          <w:tab w:val="left" w:pos="426"/>
          <w:tab w:val="left" w:pos="2552"/>
        </w:tabs>
        <w:suppressAutoHyphens/>
        <w:jc w:val="both"/>
      </w:pPr>
      <w:r w:rsidRPr="001249A8">
        <w:t xml:space="preserve">Academias de ginástica </w:t>
      </w:r>
      <w:r w:rsidR="00FF1673" w:rsidRPr="001249A8">
        <w:t xml:space="preserve">e condicionamento físico </w:t>
      </w:r>
      <w:r w:rsidRPr="001249A8">
        <w:t>não podem ser incluídas entre os destinatários da lei, à luz da norma federal em vigor relativa à classificação de atividades econômicas;</w:t>
      </w:r>
    </w:p>
    <w:p w14:paraId="08884A81" w14:textId="77777777" w:rsidR="00F24C1C" w:rsidRPr="001249A8" w:rsidRDefault="00F24C1C" w:rsidP="00F24C1C">
      <w:pPr>
        <w:pStyle w:val="Cabealho"/>
        <w:tabs>
          <w:tab w:val="left" w:pos="426"/>
          <w:tab w:val="left" w:pos="2552"/>
        </w:tabs>
        <w:suppressAutoHyphens/>
        <w:ind w:left="2705"/>
        <w:jc w:val="both"/>
      </w:pPr>
    </w:p>
    <w:p w14:paraId="6F9EF8F3" w14:textId="77777777" w:rsidR="00F24C1C" w:rsidRPr="001249A8" w:rsidRDefault="00F24C1C" w:rsidP="00D6351D">
      <w:pPr>
        <w:pStyle w:val="Cabealho"/>
        <w:numPr>
          <w:ilvl w:val="0"/>
          <w:numId w:val="5"/>
        </w:numPr>
        <w:tabs>
          <w:tab w:val="left" w:pos="426"/>
          <w:tab w:val="left" w:pos="2552"/>
        </w:tabs>
        <w:suppressAutoHyphens/>
        <w:jc w:val="both"/>
      </w:pPr>
      <w:r w:rsidRPr="001249A8">
        <w:t>A lei não contém proibição de cobrança direcionada aos profissionais nela mencionados</w:t>
      </w:r>
      <w:r w:rsidR="00331986" w:rsidRPr="001249A8">
        <w:t>, pelo</w:t>
      </w:r>
      <w:r w:rsidR="004C74B2" w:rsidRPr="001249A8">
        <w:t>s estabelecimentos, mas apenas de</w:t>
      </w:r>
      <w:r w:rsidR="00331986" w:rsidRPr="001249A8">
        <w:t xml:space="preserve"> cobrança de custos extras </w:t>
      </w:r>
      <w:r w:rsidR="004C74B2" w:rsidRPr="001249A8">
        <w:t>direcionada aos</w:t>
      </w:r>
      <w:r w:rsidR="00331986" w:rsidRPr="001249A8">
        <w:t xml:space="preserve"> consumidores;</w:t>
      </w:r>
    </w:p>
    <w:p w14:paraId="40C1640F" w14:textId="77777777" w:rsidR="00F24C1C" w:rsidRPr="001249A8" w:rsidRDefault="00F24C1C" w:rsidP="00F24C1C">
      <w:pPr>
        <w:pStyle w:val="Cabealho"/>
        <w:tabs>
          <w:tab w:val="left" w:pos="426"/>
          <w:tab w:val="left" w:pos="2552"/>
        </w:tabs>
        <w:suppressAutoHyphens/>
        <w:ind w:left="2705"/>
        <w:jc w:val="both"/>
      </w:pPr>
    </w:p>
    <w:p w14:paraId="56286EF0" w14:textId="77777777" w:rsidR="00331986" w:rsidRPr="001249A8" w:rsidRDefault="00331986" w:rsidP="00D6351D">
      <w:pPr>
        <w:pStyle w:val="Cabealho"/>
        <w:numPr>
          <w:ilvl w:val="0"/>
          <w:numId w:val="5"/>
        </w:numPr>
        <w:tabs>
          <w:tab w:val="left" w:pos="426"/>
          <w:tab w:val="left" w:pos="2552"/>
        </w:tabs>
        <w:suppressAutoHyphens/>
        <w:jc w:val="both"/>
      </w:pPr>
      <w:r w:rsidRPr="001249A8">
        <w:t xml:space="preserve">A competência concorrente do Distrito Federal para legislar sobre consumo não lhe permite interferir na relação de direito civil entre dois fornecedores de serviço, razão pela qual qualquer interpretação da norma </w:t>
      </w:r>
      <w:r w:rsidR="00F81CAC" w:rsidRPr="001249A8">
        <w:t>que conduza à</w:t>
      </w:r>
      <w:r w:rsidRPr="001249A8">
        <w:t>quela proibição viola a competência legislativa privativa da União Federal para a matéria;</w:t>
      </w:r>
    </w:p>
    <w:p w14:paraId="6834BEB5" w14:textId="77777777" w:rsidR="00331986" w:rsidRPr="001249A8" w:rsidRDefault="00331986" w:rsidP="00331986">
      <w:pPr>
        <w:pStyle w:val="PargrafodaLista"/>
      </w:pPr>
    </w:p>
    <w:p w14:paraId="4A851792" w14:textId="77777777" w:rsidR="00F24C1C" w:rsidRPr="001249A8" w:rsidRDefault="00331986" w:rsidP="00D6351D">
      <w:pPr>
        <w:pStyle w:val="Cabealho"/>
        <w:numPr>
          <w:ilvl w:val="0"/>
          <w:numId w:val="5"/>
        </w:numPr>
        <w:tabs>
          <w:tab w:val="left" w:pos="426"/>
          <w:tab w:val="left" w:pos="2552"/>
        </w:tabs>
        <w:suppressAutoHyphens/>
        <w:jc w:val="both"/>
      </w:pPr>
      <w:r w:rsidRPr="001249A8">
        <w:t xml:space="preserve"> </w:t>
      </w:r>
      <w:r w:rsidR="00F81CAC" w:rsidRPr="001249A8">
        <w:t>O legislador distrital não é competente nem mesmo para proibir a cobrança de custos extras dos consumidores, a teor de reiterada jurisprudência do E. STF, eis que a mencionada competência concorrente não lhe permite interferir no conteúdo de quaisquer contratos, ainda que sejam de consumo;</w:t>
      </w:r>
    </w:p>
    <w:p w14:paraId="6EE61281" w14:textId="77777777" w:rsidR="00F81CAC" w:rsidRPr="001249A8" w:rsidRDefault="00F81CAC" w:rsidP="00F81CAC">
      <w:pPr>
        <w:pStyle w:val="PargrafodaLista"/>
      </w:pPr>
    </w:p>
    <w:p w14:paraId="0B60D03C" w14:textId="77777777" w:rsidR="00F81CAC" w:rsidRPr="001249A8" w:rsidRDefault="00F81CAC" w:rsidP="00D6351D">
      <w:pPr>
        <w:pStyle w:val="Cabealho"/>
        <w:numPr>
          <w:ilvl w:val="0"/>
          <w:numId w:val="5"/>
        </w:numPr>
        <w:tabs>
          <w:tab w:val="left" w:pos="426"/>
          <w:tab w:val="left" w:pos="2552"/>
        </w:tabs>
        <w:suppressAutoHyphens/>
        <w:jc w:val="both"/>
      </w:pPr>
      <w:r w:rsidRPr="001249A8">
        <w:t>Além de incorrer na inconstitucionalidade formal acima apontada, eventual interpretação que conduzisse à proibição</w:t>
      </w:r>
      <w:r w:rsidR="004C74B2" w:rsidRPr="001249A8">
        <w:t xml:space="preserve"> de cobrança dos profissionais pelo acesso às academias violaria frontalmente os princípios constitucionais da livre iniciativa, livre concorrência e propriedade</w:t>
      </w:r>
      <w:r w:rsidR="003C711D" w:rsidRPr="001249A8">
        <w:t xml:space="preserve"> privada;</w:t>
      </w:r>
    </w:p>
    <w:p w14:paraId="1C213A88" w14:textId="77777777" w:rsidR="003C711D" w:rsidRPr="001249A8" w:rsidRDefault="003C711D" w:rsidP="003C711D">
      <w:pPr>
        <w:pStyle w:val="PargrafodaLista"/>
      </w:pPr>
    </w:p>
    <w:p w14:paraId="41CF37BE" w14:textId="77777777" w:rsidR="003C711D" w:rsidRPr="001249A8" w:rsidRDefault="003C711D" w:rsidP="00D6351D">
      <w:pPr>
        <w:pStyle w:val="Cabealho"/>
        <w:numPr>
          <w:ilvl w:val="0"/>
          <w:numId w:val="5"/>
        </w:numPr>
        <w:tabs>
          <w:tab w:val="left" w:pos="426"/>
          <w:tab w:val="left" w:pos="2552"/>
        </w:tabs>
        <w:suppressAutoHyphens/>
        <w:jc w:val="both"/>
      </w:pPr>
      <w:r w:rsidRPr="001249A8">
        <w:t xml:space="preserve">Além de reiteradamente confirmadas por pacífica jurisprudência em situações análogas, as inconstitucionalidades formais e materiais apontadas nos itens (iii), (iv) e (v) foram objeto de exaustivo parecer de lavra do Prof. Carlos Ayres Britto, que </w:t>
      </w:r>
      <w:r w:rsidR="00032762">
        <w:t>aponta</w:t>
      </w:r>
      <w:r w:rsidR="001249A8">
        <w:t xml:space="preserve"> violações adicionais e </w:t>
      </w:r>
      <w:r w:rsidRPr="001249A8">
        <w:t xml:space="preserve">confere embasamento ainda maior aos argumentos aqui trazidos. </w:t>
      </w:r>
    </w:p>
    <w:p w14:paraId="459A40AD" w14:textId="77777777" w:rsidR="00F0541F" w:rsidRPr="001249A8" w:rsidRDefault="00F0541F" w:rsidP="00F0541F">
      <w:pPr>
        <w:pStyle w:val="PargrafodaLista"/>
      </w:pPr>
    </w:p>
    <w:p w14:paraId="49AFFFB8" w14:textId="77777777" w:rsidR="001D78C1" w:rsidRDefault="004C74B2" w:rsidP="001D78C1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Passa</w:t>
      </w:r>
      <w:r w:rsidR="001D78C1">
        <w:t>r</w:t>
      </w:r>
      <w:r w:rsidRPr="001249A8">
        <w:t>-se</w:t>
      </w:r>
      <w:r w:rsidR="001D78C1">
        <w:t>-á</w:t>
      </w:r>
      <w:r w:rsidRPr="001249A8">
        <w:t xml:space="preserve"> a </w:t>
      </w:r>
      <w:r w:rsidR="00DD6E4C" w:rsidRPr="001249A8">
        <w:t>abordar cada um desses fundamentos, pela ordem em que acima elencados.</w:t>
      </w:r>
      <w:r w:rsidR="001D78C1">
        <w:t xml:space="preserve"> </w:t>
      </w:r>
      <w:r w:rsidR="001D78C1" w:rsidRPr="001D78C1">
        <w:t>Ao cabo e ao fim, restará evidente que a omissão da lei em proibir expressamente a cobrança não foi acidental e sim deliberada. Ao invés de reproduzir a redação escancaradamente inconstitucional de diversos outros projetos e diplomas legais com idêntico objetivo, sucessivamente arquivados por Comissões de Constituição e Justiça ou suspensos por decisão judicial</w:t>
      </w:r>
      <w:r w:rsidR="001D78C1">
        <w:t xml:space="preserve"> noutras unidades da federação</w:t>
      </w:r>
      <w:r w:rsidR="001D78C1" w:rsidRPr="001D78C1">
        <w:t xml:space="preserve">, desta feita buscou o legislador mascarar a intenção ilegal ampliando os sujeitos da norma e tentando dela extrair seu verdadeiro objetivo por interpretação. </w:t>
      </w:r>
    </w:p>
    <w:p w14:paraId="7FF20BA2" w14:textId="77777777" w:rsidR="001D78C1" w:rsidRDefault="001D78C1" w:rsidP="001D78C1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03B5453C" w14:textId="77777777" w:rsidR="001D78C1" w:rsidRPr="001249A8" w:rsidRDefault="001D78C1" w:rsidP="001D78C1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D78C1">
        <w:t>De forma canhestra e parcamente dissimulada, pretendeu-se que norma declarada inconstitucional por todas as decisões judiciais de mérito definit</w:t>
      </w:r>
      <w:r>
        <w:t>ivas de que se tem conhecimento,</w:t>
      </w:r>
      <w:r w:rsidRPr="001D78C1">
        <w:t xml:space="preserve"> nos tribunais, pudesse metamorfosear-se em constitucional apenas por decorrer do “espírito” de uma lei omissa e da justificativa de defender consumidores para beneficiar certos fornecedores, em detrimento de outros.</w:t>
      </w:r>
    </w:p>
    <w:p w14:paraId="5C2DBA2E" w14:textId="77777777" w:rsidR="00F0541F" w:rsidRPr="001249A8" w:rsidRDefault="00F0541F" w:rsidP="00F0541F">
      <w:pPr>
        <w:pStyle w:val="PargrafodaLista"/>
      </w:pPr>
    </w:p>
    <w:p w14:paraId="614C5711" w14:textId="77777777" w:rsidR="00F0541F" w:rsidRPr="001249A8" w:rsidRDefault="00F0541F" w:rsidP="00FF1673">
      <w:pPr>
        <w:jc w:val="both"/>
      </w:pPr>
    </w:p>
    <w:p w14:paraId="48B517A5" w14:textId="77777777" w:rsidR="00F0541F" w:rsidRPr="001249A8" w:rsidRDefault="00FF1673" w:rsidP="00F0541F">
      <w:pPr>
        <w:pStyle w:val="PargrafodaLista"/>
        <w:ind w:left="0" w:firstLine="1985"/>
        <w:rPr>
          <w:b/>
        </w:rPr>
      </w:pPr>
      <w:r w:rsidRPr="001249A8">
        <w:rPr>
          <w:b/>
        </w:rPr>
        <w:t>II</w:t>
      </w:r>
      <w:r w:rsidR="00F0541F" w:rsidRPr="001249A8">
        <w:rPr>
          <w:b/>
        </w:rPr>
        <w:t xml:space="preserve"> – DO DIREITO</w:t>
      </w:r>
    </w:p>
    <w:p w14:paraId="6658E111" w14:textId="77777777" w:rsidR="00F0541F" w:rsidRPr="001249A8" w:rsidRDefault="00F0541F" w:rsidP="00F0541F">
      <w:pPr>
        <w:pStyle w:val="PargrafodaLista"/>
        <w:ind w:left="0"/>
        <w:jc w:val="center"/>
        <w:rPr>
          <w:b/>
        </w:rPr>
      </w:pPr>
    </w:p>
    <w:p w14:paraId="7ABF37FE" w14:textId="77777777" w:rsidR="00FF1673" w:rsidRPr="001249A8" w:rsidRDefault="00FF1673" w:rsidP="00F0541F">
      <w:pPr>
        <w:pStyle w:val="PargrafodaLista"/>
        <w:ind w:left="0"/>
        <w:jc w:val="center"/>
        <w:rPr>
          <w:b/>
        </w:rPr>
      </w:pPr>
    </w:p>
    <w:p w14:paraId="14D3FDEB" w14:textId="77777777" w:rsidR="00F0541F" w:rsidRPr="001249A8" w:rsidRDefault="00F0541F" w:rsidP="00F0541F">
      <w:pPr>
        <w:pStyle w:val="PargrafodaLista"/>
        <w:ind w:left="1985"/>
        <w:jc w:val="both"/>
        <w:rPr>
          <w:b/>
        </w:rPr>
      </w:pPr>
      <w:r w:rsidRPr="001249A8">
        <w:rPr>
          <w:b/>
        </w:rPr>
        <w:t xml:space="preserve">A) </w:t>
      </w:r>
      <w:r w:rsidR="00FF1673" w:rsidRPr="001249A8">
        <w:rPr>
          <w:b/>
          <w:u w:val="single"/>
        </w:rPr>
        <w:t>Inaplicabilidade da Lei Distrital nº 7.058/22 às academias de ginástica e condicionamento físico</w:t>
      </w:r>
    </w:p>
    <w:p w14:paraId="23C0D08D" w14:textId="77777777" w:rsidR="00F0541F" w:rsidRPr="001249A8" w:rsidRDefault="00F0541F" w:rsidP="00F0541F">
      <w:pPr>
        <w:pStyle w:val="PargrafodaLista"/>
      </w:pPr>
    </w:p>
    <w:p w14:paraId="370D8332" w14:textId="77777777" w:rsidR="00FF1673" w:rsidRPr="001249A8" w:rsidRDefault="00FF1673" w:rsidP="00F0541F">
      <w:pPr>
        <w:pStyle w:val="PargrafodaLista"/>
      </w:pPr>
    </w:p>
    <w:p w14:paraId="1C6EE411" w14:textId="77777777" w:rsidR="001D78C1" w:rsidRPr="001D78C1" w:rsidRDefault="001D78C1" w:rsidP="001D78C1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D78C1">
        <w:t xml:space="preserve">Por primeiro e já bastante motivo, tão grande foi o esforço da lei para mascarar </w:t>
      </w:r>
      <w:r>
        <w:t xml:space="preserve">suas </w:t>
      </w:r>
      <w:r w:rsidRPr="001D78C1">
        <w:t xml:space="preserve">intenções inconstitucionais que a descrição das atividades por ela abrangidas </w:t>
      </w:r>
      <w:r w:rsidRPr="001D78C1">
        <w:rPr>
          <w:b/>
        </w:rPr>
        <w:t>não permite sua aplicação às academias</w:t>
      </w:r>
      <w:r w:rsidRPr="001D78C1">
        <w:t>, sob pena de colisão com as normas federais sobre classificação de atividades econômicas e de discricionariedade ofensiva ao sistema jurídico vigente.</w:t>
      </w:r>
    </w:p>
    <w:p w14:paraId="65301DEA" w14:textId="77777777" w:rsidR="001D78C1" w:rsidRDefault="001D78C1" w:rsidP="001D78C1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01F88DA0" w14:textId="77777777" w:rsidR="00F0541F" w:rsidRPr="001249A8" w:rsidRDefault="00FF1673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lastRenderedPageBreak/>
        <w:t>Ao disciplinar “</w:t>
      </w:r>
      <w:r w:rsidRPr="001249A8">
        <w:rPr>
          <w:i/>
        </w:rPr>
        <w:t xml:space="preserve">a relação de consumo e a prestação de serviços de prevenção de doenças, promoção do bem-estar e proteção e recuperação da saúde e da qualidade de vida por entidades públicas ou privadas, de caráter filantrópico ou não”, </w:t>
      </w:r>
      <w:r w:rsidR="003A7B7F" w:rsidRPr="001249A8">
        <w:t xml:space="preserve">a lei valeu-se de </w:t>
      </w:r>
      <w:r w:rsidR="00064F00" w:rsidRPr="001249A8">
        <w:t>conceitos jurídicos indeterminados, que exigem interpretação e cuja vagueza levou o PROCON-DF a recomendar ao Exmo. Sr. Governador do Distrito Federal que a vetasse, em sua integralidade (doc. junto, destaques nossos):</w:t>
      </w:r>
    </w:p>
    <w:p w14:paraId="375DF104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jc w:val="both"/>
      </w:pPr>
    </w:p>
    <w:p w14:paraId="29F401A5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  <w:r w:rsidRPr="001249A8">
        <w:rPr>
          <w:i/>
        </w:rPr>
        <w:t>O referido art. 1o, diz disciplinar relações de consumo e prestação dos serviços de: a) prevenção de doenças; b) promoção do bem-estar; c) proteção e recuperação da saúde e da qualidade de vida por entidades públicas ou privadas.</w:t>
      </w:r>
    </w:p>
    <w:p w14:paraId="10EFE399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</w:p>
    <w:p w14:paraId="5DFB1117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b/>
          <w:i/>
        </w:rPr>
      </w:pPr>
      <w:r w:rsidRPr="001249A8">
        <w:rPr>
          <w:i/>
        </w:rPr>
        <w:t xml:space="preserve">A generalidade e abstratividade consiste justamente nos termos enumerados acima. </w:t>
      </w:r>
      <w:r w:rsidRPr="001249A8">
        <w:rPr>
          <w:b/>
          <w:i/>
        </w:rPr>
        <w:t>Prevenção de doenças seria qual segmento profissional?</w:t>
      </w:r>
    </w:p>
    <w:p w14:paraId="03CB7527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</w:p>
    <w:p w14:paraId="2F5A0BD2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  <w:r w:rsidRPr="001249A8">
        <w:rPr>
          <w:i/>
        </w:rPr>
        <w:t xml:space="preserve">Academias, clínicas médicas, fisioterápicas, massagens, yoga, etc? </w:t>
      </w:r>
      <w:r w:rsidRPr="001249A8">
        <w:rPr>
          <w:b/>
          <w:i/>
        </w:rPr>
        <w:t>Promoção do bem estar, qual o conceito legal?</w:t>
      </w:r>
    </w:p>
    <w:p w14:paraId="2C84490A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</w:p>
    <w:p w14:paraId="69F2BEA0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b/>
          <w:i/>
        </w:rPr>
      </w:pPr>
      <w:r w:rsidRPr="001249A8">
        <w:rPr>
          <w:b/>
          <w:i/>
        </w:rPr>
        <w:t>A generalidade demonstrada com a fixação de conceitos jurídicos indeterminados em um diploma legal, inovador da ordem jurídica, transfere para o aplicador direto discricionariedade extremamente elevada com a possibilidade constante de acarretar abuso de poder nos atos administrativos típicos da entidade administrativa executora da Norma em questão.</w:t>
      </w:r>
    </w:p>
    <w:p w14:paraId="2087F098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b/>
          <w:i/>
        </w:rPr>
      </w:pPr>
    </w:p>
    <w:p w14:paraId="1A25C359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  <w:r w:rsidRPr="001249A8">
        <w:rPr>
          <w:i/>
        </w:rPr>
        <w:t>(....................................................................)</w:t>
      </w:r>
    </w:p>
    <w:p w14:paraId="35C3F5CA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</w:p>
    <w:p w14:paraId="39B912A9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b/>
          <w:i/>
        </w:rPr>
      </w:pPr>
      <w:r w:rsidRPr="001249A8">
        <w:rPr>
          <w:i/>
        </w:rPr>
        <w:t xml:space="preserve">Desse modo, no que tange à compatibilidade da matéria ao ordenamento jurídico consumerista e as atribuições administrativas do Instituto de Defesa do Consumidor o opinativo é pelo </w:t>
      </w:r>
      <w:r w:rsidRPr="001249A8">
        <w:rPr>
          <w:b/>
          <w:i/>
        </w:rPr>
        <w:t>veto integral do projeto de Lei no. 2.131/2021.</w:t>
      </w:r>
    </w:p>
    <w:p w14:paraId="0C0DB3CA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04B7106C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7DFDB002" w14:textId="77777777" w:rsidR="006E2F53" w:rsidRPr="001249A8" w:rsidRDefault="001D78C1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>
        <w:t>Todavia, q</w:t>
      </w:r>
      <w:r w:rsidR="006E2F53" w:rsidRPr="001249A8">
        <w:t>ue</w:t>
      </w:r>
      <w:r w:rsidR="00064F00" w:rsidRPr="001249A8">
        <w:t xml:space="preserve"> tenha </w:t>
      </w:r>
      <w:r w:rsidR="006E2F53" w:rsidRPr="001249A8">
        <w:t>a lei</w:t>
      </w:r>
      <w:r>
        <w:t xml:space="preserve"> ainda assim</w:t>
      </w:r>
      <w:r w:rsidR="00064F00" w:rsidRPr="001249A8">
        <w:t xml:space="preserve"> entrado em vigor pelo ato político da sanção </w:t>
      </w:r>
      <w:r w:rsidR="006E2F53" w:rsidRPr="001249A8">
        <w:t>–</w:t>
      </w:r>
      <w:r w:rsidR="00064F00" w:rsidRPr="001249A8">
        <w:t xml:space="preserve"> </w:t>
      </w:r>
      <w:r w:rsidR="006E2F53" w:rsidRPr="001249A8">
        <w:t xml:space="preserve">contrariando recomendações de veto de todos os demais órgãos distritais consultados, desde Saúde e Casa Civil (veto integral) até a Procuradoria Geral (veto parcial, justamente dos dispositivos invocados na presente ação) (docs. juntos) – </w:t>
      </w:r>
      <w:r>
        <w:rPr>
          <w:b/>
        </w:rPr>
        <w:t>não significa</w:t>
      </w:r>
      <w:r w:rsidR="006E2F53" w:rsidRPr="001249A8">
        <w:rPr>
          <w:b/>
        </w:rPr>
        <w:t xml:space="preserve"> que tenham a administração ou o Poder Judiciário discricionariedade para decidir que atividades estão </w:t>
      </w:r>
      <w:r w:rsidR="00032762">
        <w:rPr>
          <w:b/>
        </w:rPr>
        <w:t>por ela</w:t>
      </w:r>
      <w:r w:rsidR="006E2F53" w:rsidRPr="001249A8">
        <w:rPr>
          <w:b/>
        </w:rPr>
        <w:t xml:space="preserve"> abrangidas</w:t>
      </w:r>
      <w:r w:rsidR="006E2F53" w:rsidRPr="001249A8">
        <w:t>.</w:t>
      </w:r>
    </w:p>
    <w:p w14:paraId="08564673" w14:textId="77777777" w:rsidR="006E2F53" w:rsidRPr="001249A8" w:rsidRDefault="006E2F53" w:rsidP="006E2F53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70D957DB" w14:textId="77777777" w:rsidR="006E2F53" w:rsidRPr="001249A8" w:rsidRDefault="006E2F53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lastRenderedPageBreak/>
        <w:t xml:space="preserve">Explica-o </w:t>
      </w:r>
      <w:r w:rsidR="00DE6641" w:rsidRPr="001249A8">
        <w:t>o professor do Instituto de Educação Superior de Brasília FREDERICO DO VALLE ABREU, estribando-se na melhor doutrina (destaques nossos)</w:t>
      </w:r>
      <w:r w:rsidR="00DE6641" w:rsidRPr="001249A8">
        <w:rPr>
          <w:rStyle w:val="Refdenotaderodap"/>
        </w:rPr>
        <w:footnoteReference w:id="1"/>
      </w:r>
      <w:r w:rsidR="00DE6641" w:rsidRPr="001249A8">
        <w:t>:</w:t>
      </w:r>
    </w:p>
    <w:p w14:paraId="5D0C6198" w14:textId="77777777" w:rsidR="006E2F53" w:rsidRPr="001249A8" w:rsidRDefault="006E2F53" w:rsidP="00DE6641"/>
    <w:p w14:paraId="3F08F9EE" w14:textId="77777777" w:rsidR="006E2F53" w:rsidRPr="006E2F53" w:rsidRDefault="006E2F53" w:rsidP="006E2F53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b/>
          <w:i/>
        </w:rPr>
        <w:t>O preenchimento desses conceitos normativos no âmbito do Judicário se dá</w:t>
      </w:r>
      <w:r w:rsidRPr="001249A8">
        <w:rPr>
          <w:i/>
        </w:rPr>
        <w:t xml:space="preserve"> </w:t>
      </w:r>
      <w:r w:rsidRPr="001249A8">
        <w:rPr>
          <w:b/>
          <w:i/>
        </w:rPr>
        <w:t>com a busca de elementos dentro do sistema</w:t>
      </w:r>
      <w:r w:rsidRPr="001249A8">
        <w:rPr>
          <w:i/>
        </w:rPr>
        <w:t xml:space="preserve"> e, o que pode existir é </w:t>
      </w:r>
      <w:r w:rsidRPr="001249A8">
        <w:rPr>
          <w:i/>
          <w:iCs/>
        </w:rPr>
        <w:t>aparente</w:t>
      </w:r>
      <w:r w:rsidRPr="001249A8">
        <w:rPr>
          <w:i/>
        </w:rPr>
        <w:t xml:space="preserve"> </w:t>
      </w:r>
      <w:r w:rsidRPr="001249A8">
        <w:rPr>
          <w:i/>
          <w:iCs/>
        </w:rPr>
        <w:t>discricionariedade</w:t>
      </w:r>
      <w:r w:rsidRPr="001249A8">
        <w:rPr>
          <w:i/>
        </w:rPr>
        <w:t xml:space="preserve"> quando há erro no processo subsuntivo, pois o</w:t>
      </w:r>
      <w:r w:rsidRPr="006E2F53">
        <w:rPr>
          <w:i/>
        </w:rPr>
        <w:t xml:space="preserve"> sistema não quer que haja decisões diferentes em casos semelhantes e, na hipótese de erro, apenas tolera</w:t>
      </w:r>
      <w:r w:rsidRPr="006E2F53">
        <w:rPr>
          <w:i/>
          <w:vertAlign w:val="superscript"/>
        </w:rPr>
        <w:t xml:space="preserve"> (14)</w:t>
      </w:r>
      <w:r w:rsidRPr="006E2F53">
        <w:rPr>
          <w:i/>
        </w:rPr>
        <w:t xml:space="preserve"> a discrepância das decisões e entrega aos jurisdicionados a chance da correção por recurso.</w:t>
      </w:r>
    </w:p>
    <w:p w14:paraId="56690703" w14:textId="77777777" w:rsidR="006E2F53" w:rsidRPr="006E2F53" w:rsidRDefault="006E2F53" w:rsidP="006E2F53">
      <w:pPr>
        <w:spacing w:before="100" w:beforeAutospacing="1" w:after="100" w:afterAutospacing="1"/>
        <w:ind w:left="1134"/>
        <w:jc w:val="both"/>
        <w:rPr>
          <w:b/>
          <w:i/>
        </w:rPr>
      </w:pPr>
      <w:r w:rsidRPr="006E2F53">
        <w:rPr>
          <w:i/>
        </w:rPr>
        <w:t> </w:t>
      </w:r>
      <w:r w:rsidRPr="006E2F53">
        <w:rPr>
          <w:b/>
          <w:i/>
        </w:rPr>
        <w:t xml:space="preserve">A discricionariedade, ao contrário, acabaria, caso erroneamente utilizada para a concessão ou não de um pedido fundado em lei que contenha esse conceito vago, por autorizar uma interpretação </w:t>
      </w:r>
      <w:r w:rsidRPr="006E2F53">
        <w:rPr>
          <w:b/>
          <w:i/>
          <w:iCs/>
        </w:rPr>
        <w:t>contra legem</w:t>
      </w:r>
      <w:r w:rsidRPr="006E2F53">
        <w:rPr>
          <w:b/>
          <w:i/>
        </w:rPr>
        <w:t>, buscada fora do ordenamento jurídico, a fim de satisfazer a escolha do fim que o juiz supostamente entenda como correto.</w:t>
      </w:r>
    </w:p>
    <w:p w14:paraId="163ED8FB" w14:textId="77777777" w:rsidR="006E2F53" w:rsidRPr="006E2F53" w:rsidRDefault="006E2F53" w:rsidP="006E2F53">
      <w:pPr>
        <w:spacing w:before="100" w:beforeAutospacing="1" w:after="100" w:afterAutospacing="1"/>
        <w:ind w:left="1134"/>
        <w:jc w:val="both"/>
        <w:rPr>
          <w:i/>
        </w:rPr>
      </w:pPr>
      <w:r w:rsidRPr="006E2F53">
        <w:rPr>
          <w:i/>
        </w:rPr>
        <w:t xml:space="preserve">Esta hipótese, como aqui é defendido, não pode ser aceita até porque </w:t>
      </w:r>
      <w:r w:rsidRPr="006E2F53">
        <w:rPr>
          <w:b/>
          <w:i/>
        </w:rPr>
        <w:t>o ordenamento jurídico deve ser uno, completo, conforme os ensinamentos de BOBBIO</w:t>
      </w:r>
      <w:r w:rsidRPr="006E2F53">
        <w:rPr>
          <w:i/>
          <w:vertAlign w:val="superscript"/>
        </w:rPr>
        <w:t xml:space="preserve"> (15)</w:t>
      </w:r>
      <w:r w:rsidRPr="006E2F53">
        <w:rPr>
          <w:i/>
        </w:rPr>
        <w:t xml:space="preserve"> e, ao se evitar o </w:t>
      </w:r>
      <w:r w:rsidRPr="006E2F53">
        <w:rPr>
          <w:i/>
          <w:iCs/>
        </w:rPr>
        <w:t>positivismo naturalista</w:t>
      </w:r>
      <w:r w:rsidRPr="006E2F53">
        <w:rPr>
          <w:i/>
          <w:iCs/>
          <w:vertAlign w:val="superscript"/>
        </w:rPr>
        <w:t xml:space="preserve"> (16)</w:t>
      </w:r>
      <w:r w:rsidRPr="006E2F53">
        <w:rPr>
          <w:i/>
        </w:rPr>
        <w:t xml:space="preserve"> e adotar o </w:t>
      </w:r>
      <w:r w:rsidRPr="006E2F53">
        <w:rPr>
          <w:i/>
          <w:iCs/>
        </w:rPr>
        <w:t>positivismo crítico</w:t>
      </w:r>
      <w:r w:rsidRPr="006E2F53">
        <w:rPr>
          <w:i/>
        </w:rPr>
        <w:t>, que é normativo (KELSEN), correto perceber que, como esquema lógico da própria causalidade normativa, no qual o efeito é deonticamente</w:t>
      </w:r>
      <w:r w:rsidRPr="006E2F53">
        <w:rPr>
          <w:i/>
          <w:vertAlign w:val="superscript"/>
        </w:rPr>
        <w:t xml:space="preserve"> (17)</w:t>
      </w:r>
      <w:r w:rsidRPr="006E2F53">
        <w:rPr>
          <w:i/>
        </w:rPr>
        <w:t xml:space="preserve"> vinculado à causa (fato jurídico), nunca poderemos </w:t>
      </w:r>
      <w:r w:rsidRPr="006E2F53">
        <w:rPr>
          <w:i/>
          <w:iCs/>
        </w:rPr>
        <w:t>sair</w:t>
      </w:r>
      <w:r w:rsidRPr="006E2F53">
        <w:rPr>
          <w:i/>
        </w:rPr>
        <w:t xml:space="preserve"> do sistema para </w:t>
      </w:r>
      <w:r w:rsidRPr="006E2F53">
        <w:rPr>
          <w:i/>
          <w:iCs/>
        </w:rPr>
        <w:t>correlatar</w:t>
      </w:r>
      <w:r w:rsidRPr="006E2F53">
        <w:rPr>
          <w:i/>
        </w:rPr>
        <w:t xml:space="preserve"> fatos abarcados pelo próprio sistema. A própria colmatação de lacunas é garantida pelo sistema, como se vê, por exemplo, na previsão dos arts. 126 e 127 do CPC.</w:t>
      </w:r>
    </w:p>
    <w:p w14:paraId="0416D554" w14:textId="77777777" w:rsidR="006E2F53" w:rsidRDefault="006E2F53" w:rsidP="006E2F53">
      <w:pPr>
        <w:pStyle w:val="PargrafodaLista"/>
        <w:rPr>
          <w:sz w:val="26"/>
          <w:szCs w:val="26"/>
        </w:rPr>
      </w:pPr>
    </w:p>
    <w:p w14:paraId="7B029735" w14:textId="77777777" w:rsidR="00064F00" w:rsidRPr="001249A8" w:rsidRDefault="006E2F53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 </w:t>
      </w:r>
      <w:r w:rsidR="003B1CCD" w:rsidRPr="001249A8">
        <w:t xml:space="preserve">Por força da Resolução 54/94 do Instituto Brasileiro de Geografia e Estatística (IBGE), acha-se em vigor desde 19/12/1994 a Classificação Nacional de Atividades Econômicas (CNAE), cuja versão mais atualizada foi divulgada pela Resolução CONCLA nº </w:t>
      </w:r>
      <w:r w:rsidR="007210FD" w:rsidRPr="001249A8">
        <w:t>2, de 20/11/2018. A atividade das academias acha-se incluída</w:t>
      </w:r>
      <w:r w:rsidR="00440293" w:rsidRPr="001249A8">
        <w:t xml:space="preserve"> na seção de “Artes, Cultura, Esporte e Lazer”, conforme os códigos e notas explicativas abaixo transcritos:</w:t>
      </w:r>
    </w:p>
    <w:p w14:paraId="2D6FC617" w14:textId="77777777" w:rsidR="007210FD" w:rsidRPr="001249A8" w:rsidRDefault="007210FD" w:rsidP="00440293">
      <w:pPr>
        <w:pStyle w:val="Cabealho"/>
        <w:tabs>
          <w:tab w:val="left" w:pos="426"/>
          <w:tab w:val="left" w:pos="2552"/>
        </w:tabs>
        <w:suppressAutoHyphens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355"/>
        <w:gridCol w:w="4950"/>
      </w:tblGrid>
      <w:tr w:rsidR="00440293" w:rsidRPr="001249A8" w14:paraId="482E6B42" w14:textId="77777777" w:rsidTr="007210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F2152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rStyle w:val="label"/>
                <w:i/>
              </w:rPr>
              <w:t>Seção:</w:t>
            </w:r>
          </w:p>
        </w:tc>
        <w:tc>
          <w:tcPr>
            <w:tcW w:w="0" w:type="auto"/>
            <w:vAlign w:val="center"/>
            <w:hideMark/>
          </w:tcPr>
          <w:p w14:paraId="437E0CC6" w14:textId="77777777" w:rsidR="007210FD" w:rsidRPr="001249A8" w:rsidRDefault="00171D72">
            <w:pPr>
              <w:ind w:left="1134"/>
              <w:rPr>
                <w:i/>
              </w:rPr>
            </w:pPr>
            <w:hyperlink r:id="rId8" w:history="1">
              <w:r w:rsidR="007210FD" w:rsidRPr="001249A8">
                <w:rPr>
                  <w:rStyle w:val="Hyperlink"/>
                  <w:i/>
                  <w:color w:val="auto"/>
                </w:rPr>
                <w:t>R</w:t>
              </w:r>
            </w:hyperlink>
          </w:p>
        </w:tc>
        <w:tc>
          <w:tcPr>
            <w:tcW w:w="0" w:type="auto"/>
            <w:vAlign w:val="center"/>
            <w:hideMark/>
          </w:tcPr>
          <w:p w14:paraId="55BCD46E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i/>
              </w:rPr>
              <w:t>ARTES, CULTURA, ESPORTE E RECREAÇÃO</w:t>
            </w:r>
          </w:p>
        </w:tc>
      </w:tr>
      <w:tr w:rsidR="00440293" w:rsidRPr="001249A8" w14:paraId="14D11F0A" w14:textId="77777777" w:rsidTr="007210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5A103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rStyle w:val="label"/>
                <w:i/>
              </w:rPr>
              <w:t>Divisão:</w:t>
            </w:r>
          </w:p>
        </w:tc>
        <w:tc>
          <w:tcPr>
            <w:tcW w:w="0" w:type="auto"/>
            <w:vAlign w:val="center"/>
            <w:hideMark/>
          </w:tcPr>
          <w:p w14:paraId="198EC85C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A923DA" w14:textId="77777777" w:rsidR="007210FD" w:rsidRPr="001249A8" w:rsidRDefault="00171D72">
            <w:pPr>
              <w:ind w:left="1134"/>
              <w:rPr>
                <w:b/>
                <w:i/>
              </w:rPr>
            </w:pPr>
            <w:hyperlink r:id="rId9" w:history="1">
              <w:r w:rsidR="007210FD" w:rsidRPr="001249A8">
                <w:rPr>
                  <w:rStyle w:val="Hyperlink"/>
                  <w:b/>
                  <w:i/>
                  <w:color w:val="auto"/>
                </w:rPr>
                <w:t>93</w:t>
              </w:r>
            </w:hyperlink>
            <w:r w:rsidR="007210FD" w:rsidRPr="001249A8">
              <w:rPr>
                <w:b/>
                <w:i/>
              </w:rPr>
              <w:t xml:space="preserve"> ATIVIDADES ESPORTIVAS E DE RECREAÇÃO E LAZER</w:t>
            </w:r>
          </w:p>
        </w:tc>
      </w:tr>
      <w:tr w:rsidR="00440293" w:rsidRPr="001249A8" w14:paraId="26C85D3F" w14:textId="77777777" w:rsidTr="007210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088FE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rStyle w:val="label"/>
                <w:i/>
              </w:rPr>
              <w:t>Grupo:</w:t>
            </w:r>
          </w:p>
        </w:tc>
        <w:tc>
          <w:tcPr>
            <w:tcW w:w="0" w:type="auto"/>
            <w:vAlign w:val="center"/>
            <w:hideMark/>
          </w:tcPr>
          <w:p w14:paraId="6AB44140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38314F" w14:textId="77777777" w:rsidR="007210FD" w:rsidRPr="001249A8" w:rsidRDefault="00171D72">
            <w:pPr>
              <w:ind w:left="1134"/>
              <w:rPr>
                <w:i/>
              </w:rPr>
            </w:pPr>
            <w:hyperlink r:id="rId10" w:history="1">
              <w:r w:rsidR="007210FD" w:rsidRPr="001249A8">
                <w:rPr>
                  <w:rStyle w:val="Hyperlink"/>
                  <w:i/>
                  <w:color w:val="auto"/>
                </w:rPr>
                <w:t>93.1</w:t>
              </w:r>
            </w:hyperlink>
            <w:r w:rsidR="007210FD" w:rsidRPr="001249A8">
              <w:rPr>
                <w:i/>
              </w:rPr>
              <w:t xml:space="preserve"> Atividades esportivas</w:t>
            </w:r>
          </w:p>
        </w:tc>
      </w:tr>
      <w:tr w:rsidR="00440293" w:rsidRPr="001249A8" w14:paraId="32007A12" w14:textId="77777777" w:rsidTr="007210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AE008B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rStyle w:val="label"/>
                <w:i/>
              </w:rPr>
              <w:lastRenderedPageBreak/>
              <w:t>Classe:</w:t>
            </w:r>
          </w:p>
        </w:tc>
        <w:tc>
          <w:tcPr>
            <w:tcW w:w="0" w:type="auto"/>
            <w:vAlign w:val="center"/>
            <w:hideMark/>
          </w:tcPr>
          <w:p w14:paraId="0157B95B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6E780E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rStyle w:val="destaque"/>
                <w:i/>
              </w:rPr>
              <w:t>93.13-1 Atividades de condicionamento físico</w:t>
            </w:r>
          </w:p>
        </w:tc>
      </w:tr>
      <w:tr w:rsidR="00440293" w:rsidRPr="001249A8" w14:paraId="1DAE725B" w14:textId="77777777" w:rsidTr="007210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7C05E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rStyle w:val="label"/>
                <w:i/>
              </w:rPr>
              <w:t>Subclasse:</w:t>
            </w:r>
          </w:p>
        </w:tc>
        <w:tc>
          <w:tcPr>
            <w:tcW w:w="0" w:type="auto"/>
            <w:vAlign w:val="center"/>
            <w:hideMark/>
          </w:tcPr>
          <w:p w14:paraId="5C7BC4B4" w14:textId="77777777" w:rsidR="007210FD" w:rsidRPr="001249A8" w:rsidRDefault="007210FD">
            <w:pPr>
              <w:ind w:left="1134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361ACA" w14:textId="77777777" w:rsidR="007210FD" w:rsidRPr="001249A8" w:rsidRDefault="00171D72">
            <w:pPr>
              <w:ind w:left="1134"/>
              <w:rPr>
                <w:i/>
              </w:rPr>
            </w:pPr>
            <w:hyperlink r:id="rId11" w:history="1">
              <w:r w:rsidR="007210FD" w:rsidRPr="001249A8">
                <w:rPr>
                  <w:rStyle w:val="Hyperlink"/>
                  <w:i/>
                  <w:color w:val="auto"/>
                </w:rPr>
                <w:t>9313-1/00</w:t>
              </w:r>
            </w:hyperlink>
            <w:r w:rsidR="007210FD" w:rsidRPr="001249A8">
              <w:rPr>
                <w:i/>
              </w:rPr>
              <w:t xml:space="preserve"> Atividades de condicionamento físico </w:t>
            </w:r>
          </w:p>
        </w:tc>
      </w:tr>
    </w:tbl>
    <w:p w14:paraId="4865BEA9" w14:textId="77777777" w:rsidR="007210FD" w:rsidRPr="001249A8" w:rsidRDefault="007210FD" w:rsidP="007210FD">
      <w:pPr>
        <w:ind w:left="1134"/>
        <w:rPr>
          <w:i/>
        </w:rPr>
      </w:pPr>
    </w:p>
    <w:p w14:paraId="02503CAE" w14:textId="77777777" w:rsidR="007210FD" w:rsidRDefault="007210FD" w:rsidP="007210FD">
      <w:pPr>
        <w:pStyle w:val="Ttulo3"/>
        <w:ind w:left="1134"/>
        <w:rPr>
          <w:rFonts w:ascii="Book Antiqua" w:hAnsi="Book Antiqua"/>
          <w:i/>
          <w:color w:val="auto"/>
        </w:rPr>
      </w:pPr>
      <w:r w:rsidRPr="001249A8">
        <w:rPr>
          <w:rFonts w:ascii="Book Antiqua" w:hAnsi="Book Antiqua"/>
          <w:i/>
          <w:color w:val="auto"/>
        </w:rPr>
        <w:t>Notas Explicativas:</w:t>
      </w:r>
    </w:p>
    <w:p w14:paraId="5B34862C" w14:textId="77777777" w:rsidR="001249A8" w:rsidRPr="001249A8" w:rsidRDefault="001249A8" w:rsidP="001249A8"/>
    <w:p w14:paraId="090C3136" w14:textId="77777777" w:rsidR="007210FD" w:rsidRPr="001249A8" w:rsidRDefault="007210FD" w:rsidP="007210FD">
      <w:pPr>
        <w:pStyle w:val="Ttulo4"/>
        <w:ind w:left="1134"/>
        <w:rPr>
          <w:rFonts w:ascii="Book Antiqua" w:hAnsi="Book Antiqua"/>
          <w:b/>
          <w:color w:val="auto"/>
        </w:rPr>
      </w:pPr>
      <w:r w:rsidRPr="001249A8">
        <w:rPr>
          <w:rFonts w:ascii="Book Antiqua" w:hAnsi="Book Antiqua"/>
          <w:b/>
          <w:color w:val="auto"/>
        </w:rPr>
        <w:t>Esta classe compreende:</w:t>
      </w:r>
    </w:p>
    <w:p w14:paraId="33C8AC53" w14:textId="77777777" w:rsidR="007210FD" w:rsidRPr="001249A8" w:rsidRDefault="007210FD" w:rsidP="00667DD2">
      <w:pPr>
        <w:pStyle w:val="NormalWeb"/>
        <w:ind w:left="1134"/>
        <w:jc w:val="both"/>
        <w:rPr>
          <w:rFonts w:ascii="Book Antiqua" w:hAnsi="Book Antiqua"/>
          <w:b/>
          <w:i/>
        </w:rPr>
      </w:pPr>
      <w:r w:rsidRPr="001249A8">
        <w:rPr>
          <w:rFonts w:ascii="Book Antiqua" w:hAnsi="Book Antiqua"/>
          <w:b/>
          <w:i/>
        </w:rPr>
        <w:t>- as atividades de condicionamento físico (fitness), tais como: ginástica, musculação, yoga, pilates, alongamento corporal, anti-giná</w:t>
      </w:r>
      <w:r w:rsidR="00440293" w:rsidRPr="001249A8">
        <w:rPr>
          <w:rFonts w:ascii="Book Antiqua" w:hAnsi="Book Antiqua"/>
          <w:b/>
          <w:i/>
        </w:rPr>
        <w:t>s</w:t>
      </w:r>
      <w:r w:rsidRPr="001249A8">
        <w:rPr>
          <w:rFonts w:ascii="Book Antiqua" w:hAnsi="Book Antiqua"/>
          <w:b/>
          <w:i/>
        </w:rPr>
        <w:t>tica, etc., realizadas em academias, centros de saúde física e outros locais especializados</w:t>
      </w:r>
    </w:p>
    <w:p w14:paraId="3487BF79" w14:textId="77777777" w:rsidR="007210FD" w:rsidRPr="001249A8" w:rsidRDefault="007210FD" w:rsidP="007210FD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56C95E32" w14:textId="77777777" w:rsidR="007210FD" w:rsidRPr="001249A8" w:rsidRDefault="00143AB3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De outro lado</w:t>
      </w:r>
      <w:r w:rsidR="00440293" w:rsidRPr="001249A8">
        <w:t>, atividades relacionadas à “</w:t>
      </w:r>
      <w:r w:rsidR="00440293" w:rsidRPr="001249A8">
        <w:rPr>
          <w:i/>
        </w:rPr>
        <w:t xml:space="preserve">prevenção de doenças” </w:t>
      </w:r>
      <w:r w:rsidR="00440293" w:rsidRPr="001249A8">
        <w:t xml:space="preserve">e à </w:t>
      </w:r>
      <w:r w:rsidR="00440293" w:rsidRPr="001249A8">
        <w:rPr>
          <w:i/>
        </w:rPr>
        <w:t>“proteção e recuperação da saúde”</w:t>
      </w:r>
      <w:r w:rsidR="00440293" w:rsidRPr="001249A8">
        <w:t xml:space="preserve">, tal como constantes da redação da lei em comento, </w:t>
      </w:r>
      <w:r w:rsidR="00667DD2" w:rsidRPr="001249A8">
        <w:t>por sua natureza são necessariamente classificadas na seção de “Saúde Humana e Serviços Sociais”, conforme respectivos códigos e notas explicativas (destaques nossos):</w:t>
      </w:r>
    </w:p>
    <w:p w14:paraId="062F8AD2" w14:textId="77777777" w:rsidR="00667DD2" w:rsidRPr="001249A8" w:rsidRDefault="00667DD2" w:rsidP="00667DD2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68ED47EB" w14:textId="77777777" w:rsidR="00667DD2" w:rsidRPr="001249A8" w:rsidRDefault="00667DD2" w:rsidP="00667DD2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1381"/>
        <w:gridCol w:w="5107"/>
      </w:tblGrid>
      <w:tr w:rsidR="00667DD2" w:rsidRPr="001249A8" w14:paraId="39DBE8CE" w14:textId="77777777" w:rsidTr="00667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CF3F6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rStyle w:val="label"/>
                <w:i/>
              </w:rPr>
              <w:t>Seção:</w:t>
            </w:r>
          </w:p>
        </w:tc>
        <w:tc>
          <w:tcPr>
            <w:tcW w:w="0" w:type="auto"/>
            <w:vAlign w:val="center"/>
            <w:hideMark/>
          </w:tcPr>
          <w:p w14:paraId="2A580C4B" w14:textId="77777777" w:rsidR="00667DD2" w:rsidRPr="001249A8" w:rsidRDefault="00171D72" w:rsidP="00667DD2">
            <w:pPr>
              <w:ind w:left="1134"/>
              <w:jc w:val="both"/>
              <w:rPr>
                <w:i/>
              </w:rPr>
            </w:pPr>
            <w:hyperlink r:id="rId12" w:history="1">
              <w:r w:rsidR="00667DD2" w:rsidRPr="001249A8">
                <w:rPr>
                  <w:rStyle w:val="Hyperlink"/>
                  <w:i/>
                  <w:color w:val="auto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14:paraId="0EDC70B1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i/>
              </w:rPr>
              <w:t>SAÚDE HUMANA E SERVIÇOS SOCIAIS</w:t>
            </w:r>
          </w:p>
        </w:tc>
      </w:tr>
      <w:tr w:rsidR="00667DD2" w:rsidRPr="001249A8" w14:paraId="46224B5E" w14:textId="77777777" w:rsidTr="00667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EEAA5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rStyle w:val="label"/>
                <w:i/>
              </w:rPr>
              <w:t>Divisão:</w:t>
            </w:r>
          </w:p>
        </w:tc>
        <w:tc>
          <w:tcPr>
            <w:tcW w:w="0" w:type="auto"/>
            <w:vAlign w:val="center"/>
            <w:hideMark/>
          </w:tcPr>
          <w:p w14:paraId="53FCA48A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131DA" w14:textId="77777777" w:rsidR="00667DD2" w:rsidRPr="001249A8" w:rsidRDefault="00667DD2" w:rsidP="00667DD2">
            <w:pPr>
              <w:ind w:left="1134"/>
              <w:jc w:val="both"/>
              <w:rPr>
                <w:b/>
                <w:i/>
              </w:rPr>
            </w:pPr>
            <w:r w:rsidRPr="001249A8">
              <w:rPr>
                <w:rStyle w:val="destaque"/>
                <w:b/>
                <w:i/>
              </w:rPr>
              <w:t>86 ATIVIDADES DE ATENÇÃO À SAÚDE HUMANA</w:t>
            </w:r>
          </w:p>
        </w:tc>
      </w:tr>
      <w:tr w:rsidR="00667DD2" w:rsidRPr="001249A8" w14:paraId="01100736" w14:textId="77777777" w:rsidTr="00667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22074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rStyle w:val="label"/>
                <w:i/>
              </w:rPr>
              <w:t>Grupo:</w:t>
            </w:r>
          </w:p>
        </w:tc>
        <w:tc>
          <w:tcPr>
            <w:tcW w:w="0" w:type="auto"/>
            <w:vAlign w:val="center"/>
            <w:hideMark/>
          </w:tcPr>
          <w:p w14:paraId="4893CAAC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D2FBBA" w14:textId="77777777" w:rsidR="00667DD2" w:rsidRPr="001249A8" w:rsidRDefault="00171D72" w:rsidP="00667DD2">
            <w:pPr>
              <w:ind w:left="1134"/>
              <w:jc w:val="both"/>
              <w:rPr>
                <w:i/>
              </w:rPr>
            </w:pPr>
            <w:hyperlink r:id="rId13" w:history="1">
              <w:r w:rsidR="00667DD2" w:rsidRPr="001249A8">
                <w:rPr>
                  <w:rStyle w:val="Hyperlink"/>
                  <w:i/>
                  <w:color w:val="auto"/>
                </w:rPr>
                <w:t>86.1</w:t>
              </w:r>
            </w:hyperlink>
            <w:r w:rsidR="00667DD2" w:rsidRPr="001249A8">
              <w:rPr>
                <w:i/>
              </w:rPr>
              <w:t xml:space="preserve"> Atividades de atendimento hospitalar </w:t>
            </w:r>
          </w:p>
        </w:tc>
      </w:tr>
      <w:tr w:rsidR="00667DD2" w:rsidRPr="001249A8" w14:paraId="2464DC4B" w14:textId="77777777" w:rsidTr="00667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140A9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684A8D60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1E9C75" w14:textId="77777777" w:rsidR="00667DD2" w:rsidRPr="001249A8" w:rsidRDefault="00171D72" w:rsidP="00667DD2">
            <w:pPr>
              <w:ind w:left="1134"/>
              <w:jc w:val="both"/>
              <w:rPr>
                <w:i/>
              </w:rPr>
            </w:pPr>
            <w:hyperlink r:id="rId14" w:history="1">
              <w:r w:rsidR="00667DD2" w:rsidRPr="001249A8">
                <w:rPr>
                  <w:rStyle w:val="Hyperlink"/>
                  <w:i/>
                  <w:color w:val="auto"/>
                </w:rPr>
                <w:t>86.2</w:t>
              </w:r>
            </w:hyperlink>
            <w:r w:rsidR="00667DD2" w:rsidRPr="001249A8">
              <w:rPr>
                <w:i/>
              </w:rPr>
              <w:t xml:space="preserve"> Serviços móveis de atendimento a urgências e de remoção de pacientes </w:t>
            </w:r>
          </w:p>
        </w:tc>
      </w:tr>
      <w:tr w:rsidR="00667DD2" w:rsidRPr="001249A8" w14:paraId="6AE8720D" w14:textId="77777777" w:rsidTr="00667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EE08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30AF7901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1FBDF" w14:textId="77777777" w:rsidR="00667DD2" w:rsidRPr="001249A8" w:rsidRDefault="00171D72" w:rsidP="00667DD2">
            <w:pPr>
              <w:ind w:left="1134"/>
              <w:jc w:val="both"/>
              <w:rPr>
                <w:i/>
              </w:rPr>
            </w:pPr>
            <w:hyperlink r:id="rId15" w:history="1">
              <w:r w:rsidR="00667DD2" w:rsidRPr="001249A8">
                <w:rPr>
                  <w:rStyle w:val="Hyperlink"/>
                  <w:i/>
                  <w:color w:val="auto"/>
                </w:rPr>
                <w:t>86.3</w:t>
              </w:r>
            </w:hyperlink>
            <w:r w:rsidR="00667DD2" w:rsidRPr="001249A8">
              <w:rPr>
                <w:i/>
              </w:rPr>
              <w:t xml:space="preserve"> Atividades de atenção ambulatorial executadas por médicos e odontólogos </w:t>
            </w:r>
          </w:p>
        </w:tc>
      </w:tr>
      <w:tr w:rsidR="00667DD2" w:rsidRPr="001249A8" w14:paraId="04731C79" w14:textId="77777777" w:rsidTr="00667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C46F8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3EEB87D0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C609CE" w14:textId="77777777" w:rsidR="00667DD2" w:rsidRPr="001249A8" w:rsidRDefault="00171D72" w:rsidP="00667DD2">
            <w:pPr>
              <w:ind w:left="1134"/>
              <w:jc w:val="both"/>
              <w:rPr>
                <w:i/>
              </w:rPr>
            </w:pPr>
            <w:hyperlink r:id="rId16" w:history="1">
              <w:r w:rsidR="00667DD2" w:rsidRPr="001249A8">
                <w:rPr>
                  <w:rStyle w:val="Hyperlink"/>
                  <w:i/>
                  <w:color w:val="auto"/>
                </w:rPr>
                <w:t>86.4</w:t>
              </w:r>
            </w:hyperlink>
            <w:r w:rsidR="00667DD2" w:rsidRPr="001249A8">
              <w:rPr>
                <w:i/>
              </w:rPr>
              <w:t xml:space="preserve"> Atividades de serviços de complementação diagnóstica e terapêutica </w:t>
            </w:r>
          </w:p>
        </w:tc>
      </w:tr>
      <w:tr w:rsidR="00667DD2" w:rsidRPr="001249A8" w14:paraId="753868FF" w14:textId="77777777" w:rsidTr="00667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81284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698B3382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3EF1A" w14:textId="77777777" w:rsidR="00667DD2" w:rsidRPr="001249A8" w:rsidRDefault="00171D72" w:rsidP="00667DD2">
            <w:pPr>
              <w:ind w:left="1134"/>
              <w:jc w:val="both"/>
              <w:rPr>
                <w:i/>
              </w:rPr>
            </w:pPr>
            <w:hyperlink r:id="rId17" w:history="1">
              <w:r w:rsidR="00667DD2" w:rsidRPr="001249A8">
                <w:rPr>
                  <w:rStyle w:val="Hyperlink"/>
                  <w:i/>
                  <w:color w:val="auto"/>
                </w:rPr>
                <w:t>86.5</w:t>
              </w:r>
            </w:hyperlink>
            <w:r w:rsidR="00667DD2" w:rsidRPr="001249A8">
              <w:rPr>
                <w:i/>
              </w:rPr>
              <w:t xml:space="preserve"> Atividades de profissionais da área de saúde, exceto médicos e odontólogos </w:t>
            </w:r>
          </w:p>
        </w:tc>
      </w:tr>
      <w:tr w:rsidR="00667DD2" w:rsidRPr="001249A8" w14:paraId="0615F8E0" w14:textId="77777777" w:rsidTr="00667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0F374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5B286382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7E5F2C" w14:textId="77777777" w:rsidR="00667DD2" w:rsidRPr="001249A8" w:rsidRDefault="00171D72" w:rsidP="00667DD2">
            <w:pPr>
              <w:ind w:left="1134"/>
              <w:jc w:val="both"/>
              <w:rPr>
                <w:i/>
              </w:rPr>
            </w:pPr>
            <w:hyperlink r:id="rId18" w:history="1">
              <w:r w:rsidR="00667DD2" w:rsidRPr="001249A8">
                <w:rPr>
                  <w:rStyle w:val="Hyperlink"/>
                  <w:i/>
                  <w:color w:val="auto"/>
                </w:rPr>
                <w:t>86.6</w:t>
              </w:r>
            </w:hyperlink>
            <w:r w:rsidR="00667DD2" w:rsidRPr="001249A8">
              <w:rPr>
                <w:i/>
              </w:rPr>
              <w:t xml:space="preserve"> Atividades de apoio à gestão de saúde </w:t>
            </w:r>
          </w:p>
        </w:tc>
      </w:tr>
      <w:tr w:rsidR="00667DD2" w:rsidRPr="001249A8" w14:paraId="1F8F81E3" w14:textId="77777777" w:rsidTr="00667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94D58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</w:p>
        </w:tc>
        <w:tc>
          <w:tcPr>
            <w:tcW w:w="0" w:type="auto"/>
            <w:vAlign w:val="center"/>
            <w:hideMark/>
          </w:tcPr>
          <w:p w14:paraId="5E18E3A3" w14:textId="77777777" w:rsidR="00667DD2" w:rsidRPr="001249A8" w:rsidRDefault="00667DD2" w:rsidP="00667DD2">
            <w:pPr>
              <w:ind w:left="1134"/>
              <w:jc w:val="both"/>
              <w:rPr>
                <w:i/>
              </w:rPr>
            </w:pPr>
            <w:r w:rsidRPr="001249A8">
              <w:rPr>
                <w:i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1C6AB" w14:textId="77777777" w:rsidR="00667DD2" w:rsidRPr="001249A8" w:rsidRDefault="00171D72" w:rsidP="00667DD2">
            <w:pPr>
              <w:ind w:left="1134"/>
              <w:jc w:val="both"/>
              <w:rPr>
                <w:b/>
                <w:i/>
              </w:rPr>
            </w:pPr>
            <w:hyperlink r:id="rId19" w:history="1">
              <w:r w:rsidR="00667DD2" w:rsidRPr="001249A8">
                <w:rPr>
                  <w:rStyle w:val="Hyperlink"/>
                  <w:b/>
                  <w:i/>
                  <w:color w:val="auto"/>
                </w:rPr>
                <w:t>86.9</w:t>
              </w:r>
            </w:hyperlink>
            <w:r w:rsidR="00667DD2" w:rsidRPr="001249A8">
              <w:rPr>
                <w:b/>
                <w:i/>
              </w:rPr>
              <w:t xml:space="preserve"> Atividades de atenção à saúde humana não especificadas anteriormente </w:t>
            </w:r>
          </w:p>
        </w:tc>
      </w:tr>
    </w:tbl>
    <w:p w14:paraId="5F76AD5E" w14:textId="77777777" w:rsidR="00667DD2" w:rsidRPr="001249A8" w:rsidRDefault="00667DD2" w:rsidP="00667DD2">
      <w:pPr>
        <w:pStyle w:val="Ttulo3"/>
        <w:ind w:left="1134"/>
        <w:jc w:val="both"/>
        <w:rPr>
          <w:rFonts w:ascii="Book Antiqua" w:hAnsi="Book Antiqua"/>
          <w:i/>
          <w:color w:val="auto"/>
        </w:rPr>
      </w:pPr>
      <w:r w:rsidRPr="001249A8">
        <w:rPr>
          <w:rFonts w:ascii="Book Antiqua" w:hAnsi="Book Antiqua"/>
          <w:i/>
          <w:color w:val="auto"/>
        </w:rPr>
        <w:lastRenderedPageBreak/>
        <w:t>Notas Explicativas:</w:t>
      </w:r>
    </w:p>
    <w:p w14:paraId="66E5C90F" w14:textId="77777777" w:rsidR="00667DD2" w:rsidRPr="001249A8" w:rsidRDefault="00667DD2" w:rsidP="00667DD2">
      <w:pPr>
        <w:pStyle w:val="NormalWeb"/>
        <w:ind w:left="1134"/>
        <w:jc w:val="both"/>
        <w:rPr>
          <w:rFonts w:ascii="Book Antiqua" w:hAnsi="Book Antiqua"/>
          <w:b/>
          <w:i/>
        </w:rPr>
      </w:pPr>
      <w:r w:rsidRPr="001249A8">
        <w:rPr>
          <w:rFonts w:ascii="Book Antiqua" w:hAnsi="Book Antiqua"/>
          <w:i/>
        </w:rPr>
        <w:t xml:space="preserve">Esta divisão compreende as atividades de hospitais gerais ou especializados que permitem internações de longa ou curta duração, hospitais psiquiátricos, centros de medicina preventiva, consultórios médicos e dentários, clínicas médicas e outras atividades ambulatoriais. Os locais onde são prestadas essas atividades possuem infra-estrutura para internação e realização de cirurgias ou para a realização de diagnósticos, procedimentos cirúrgicos e tratamentos médicos. </w:t>
      </w:r>
      <w:r w:rsidRPr="001249A8">
        <w:rPr>
          <w:rFonts w:ascii="Book Antiqua" w:hAnsi="Book Antiqua"/>
          <w:b/>
          <w:i/>
        </w:rPr>
        <w:t>Esta divisão compreende também as atividades praticadas por todos os profissionais relacionados à área da saúde, as atividades de apoio à gestão de saúde e as de práticas integrativas e complementares à saúde humana.</w:t>
      </w:r>
    </w:p>
    <w:p w14:paraId="185F4375" w14:textId="77777777" w:rsidR="00667DD2" w:rsidRPr="001249A8" w:rsidRDefault="00667DD2" w:rsidP="00667DD2">
      <w:pPr>
        <w:pStyle w:val="NormalWeb"/>
        <w:ind w:left="1134"/>
        <w:jc w:val="both"/>
        <w:rPr>
          <w:rFonts w:ascii="Book Antiqua" w:hAnsi="Book Antiqua"/>
          <w:b/>
          <w:i/>
        </w:rPr>
      </w:pPr>
    </w:p>
    <w:p w14:paraId="19AB8E69" w14:textId="77777777" w:rsidR="00EA0144" w:rsidRPr="001249A8" w:rsidRDefault="00EA0144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rPr>
          <w:rFonts w:cs="Calibri"/>
          <w:color w:val="00000A"/>
        </w:rPr>
        <w:t xml:space="preserve">Afastando qualquer dúvida, das Notas Explicativas da Seção 86.50-0, Subclasse </w:t>
      </w:r>
      <w:hyperlink r:id="rId20" w:history="1">
        <w:r w:rsidRPr="001249A8">
          <w:rPr>
            <w:rStyle w:val="Hyperlink"/>
            <w:rFonts w:cstheme="minorHAnsi"/>
            <w:color w:val="auto"/>
          </w:rPr>
          <w:t>8650-0/99</w:t>
        </w:r>
      </w:hyperlink>
      <w:r w:rsidRPr="001249A8">
        <w:rPr>
          <w:rFonts w:cstheme="minorHAnsi"/>
        </w:rPr>
        <w:t xml:space="preserve"> (“atividades de profissionais da área de saúde não especificadas anteriormente”) assim consta expressamente (destaques nossos):</w:t>
      </w:r>
    </w:p>
    <w:p w14:paraId="658320BE" w14:textId="77777777" w:rsidR="00EA0144" w:rsidRPr="001249A8" w:rsidRDefault="00EA0144" w:rsidP="00EA0144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728C079D" w14:textId="77777777" w:rsidR="00EA0144" w:rsidRPr="001249A8" w:rsidRDefault="00EA0144" w:rsidP="00EA0144">
      <w:pPr>
        <w:pStyle w:val="Ttulo4"/>
        <w:ind w:left="1134"/>
        <w:rPr>
          <w:rFonts w:ascii="Book Antiqua" w:hAnsi="Book Antiqua"/>
          <w:b/>
          <w:color w:val="auto"/>
        </w:rPr>
      </w:pPr>
      <w:r w:rsidRPr="001249A8">
        <w:rPr>
          <w:rFonts w:ascii="Book Antiqua" w:hAnsi="Book Antiqua"/>
          <w:b/>
          <w:color w:val="auto"/>
        </w:rPr>
        <w:t>Esta classe não compreende:</w:t>
      </w:r>
    </w:p>
    <w:p w14:paraId="010D1623" w14:textId="77777777" w:rsidR="00EA0144" w:rsidRPr="001249A8" w:rsidRDefault="00EA0144" w:rsidP="00EA0144">
      <w:pPr>
        <w:pStyle w:val="NormalWeb"/>
        <w:ind w:left="1134"/>
        <w:rPr>
          <w:rFonts w:ascii="Book Antiqua" w:hAnsi="Book Antiqua"/>
          <w:i/>
        </w:rPr>
      </w:pPr>
      <w:r w:rsidRPr="001249A8">
        <w:rPr>
          <w:rFonts w:ascii="Book Antiqua" w:hAnsi="Book Antiqua"/>
          <w:i/>
        </w:rPr>
        <w:t>(.......................................................)</w:t>
      </w:r>
    </w:p>
    <w:p w14:paraId="6E16F92E" w14:textId="77777777" w:rsidR="00EA0144" w:rsidRPr="001249A8" w:rsidRDefault="00EA0144" w:rsidP="00EA0144">
      <w:pPr>
        <w:pStyle w:val="NormalWeb"/>
        <w:ind w:left="1134"/>
        <w:rPr>
          <w:rFonts w:ascii="Book Antiqua" w:hAnsi="Book Antiqua"/>
          <w:i/>
        </w:rPr>
      </w:pPr>
      <w:r w:rsidRPr="001249A8">
        <w:rPr>
          <w:rFonts w:ascii="Book Antiqua" w:hAnsi="Book Antiqua"/>
          <w:i/>
        </w:rPr>
        <w:t xml:space="preserve">- as atividades de hidroginástica e </w:t>
      </w:r>
      <w:r w:rsidRPr="001249A8">
        <w:rPr>
          <w:rFonts w:ascii="Book Antiqua" w:hAnsi="Book Antiqua"/>
          <w:b/>
          <w:i/>
        </w:rPr>
        <w:t xml:space="preserve">demais atividades de condicionamento físico </w:t>
      </w:r>
      <w:hyperlink r:id="rId21" w:history="1">
        <w:r w:rsidRPr="001249A8">
          <w:rPr>
            <w:rStyle w:val="Hyperlink"/>
            <w:rFonts w:ascii="Book Antiqua" w:hAnsi="Book Antiqua"/>
            <w:b/>
            <w:i/>
            <w:color w:val="auto"/>
          </w:rPr>
          <w:t>(93.13-1)</w:t>
        </w:r>
      </w:hyperlink>
      <w:r w:rsidRPr="001249A8">
        <w:rPr>
          <w:rFonts w:ascii="Book Antiqua" w:hAnsi="Book Antiqua"/>
          <w:i/>
        </w:rPr>
        <w:t xml:space="preserve"> </w:t>
      </w:r>
    </w:p>
    <w:p w14:paraId="026249F5" w14:textId="77777777" w:rsidR="00EA0144" w:rsidRPr="001249A8" w:rsidRDefault="00EA0144" w:rsidP="00EA0144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0FBBFEC5" w14:textId="77777777" w:rsidR="00667DD2" w:rsidRPr="001249A8" w:rsidRDefault="00667DD2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t>Diante de tal classificação, impossível interpretar os conceitos indeterminados de atividades de “</w:t>
      </w:r>
      <w:r w:rsidRPr="001249A8">
        <w:rPr>
          <w:i/>
        </w:rPr>
        <w:t xml:space="preserve">prevenção de doenças” </w:t>
      </w:r>
      <w:r w:rsidRPr="001249A8">
        <w:t xml:space="preserve">e </w:t>
      </w:r>
      <w:r w:rsidRPr="001249A8">
        <w:rPr>
          <w:i/>
        </w:rPr>
        <w:t>“proteção e recuperação da saúde”</w:t>
      </w:r>
      <w:r w:rsidRPr="001249A8">
        <w:t xml:space="preserve"> como abrangendo academias de ginástica e condicionamento físico, sob pena de frontal contradição com norma federal integra</w:t>
      </w:r>
      <w:r w:rsidR="00032762">
        <w:t>nte</w:t>
      </w:r>
      <w:r w:rsidRPr="001249A8">
        <w:t xml:space="preserve"> </w:t>
      </w:r>
      <w:r w:rsidR="001D78C1">
        <w:t>d</w:t>
      </w:r>
      <w:r w:rsidRPr="001249A8">
        <w:t>o sistema jurídico brasileiro</w:t>
      </w:r>
      <w:r w:rsidR="00EA0144" w:rsidRPr="001249A8">
        <w:t>, que não as inclui entre as atividades relacionadas à saúde e nem mesmo a “</w:t>
      </w:r>
      <w:r w:rsidR="00EA0144" w:rsidRPr="001249A8">
        <w:rPr>
          <w:i/>
        </w:rPr>
        <w:t>práticas integrativas e complementares à saúde humana”</w:t>
      </w:r>
      <w:r w:rsidR="00143AB3" w:rsidRPr="001249A8">
        <w:rPr>
          <w:i/>
        </w:rPr>
        <w:t xml:space="preserve"> </w:t>
      </w:r>
      <w:r w:rsidR="00143AB3" w:rsidRPr="001249A8">
        <w:t>(nota explicativa da seção 86, acima transcrita)</w:t>
      </w:r>
      <w:r w:rsidR="00EA0144" w:rsidRPr="001249A8">
        <w:rPr>
          <w:b/>
          <w:i/>
        </w:rPr>
        <w:t>.</w:t>
      </w:r>
    </w:p>
    <w:p w14:paraId="3A2978FA" w14:textId="77777777" w:rsidR="00143AB3" w:rsidRPr="001249A8" w:rsidRDefault="00143AB3" w:rsidP="00143AB3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b/>
        </w:rPr>
      </w:pPr>
    </w:p>
    <w:p w14:paraId="6412DC25" w14:textId="77777777" w:rsidR="00B466FB" w:rsidRPr="001249A8" w:rsidRDefault="00143AB3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t>Também não é possível, por seu turno, interpretar os conceitos indeterminados de “</w:t>
      </w:r>
      <w:r w:rsidRPr="001249A8">
        <w:rPr>
          <w:i/>
        </w:rPr>
        <w:t xml:space="preserve">promoção do bem-estar” </w:t>
      </w:r>
      <w:r w:rsidRPr="001249A8">
        <w:t>e</w:t>
      </w:r>
      <w:r w:rsidRPr="001249A8">
        <w:rPr>
          <w:i/>
        </w:rPr>
        <w:t xml:space="preserve"> “proteção e recuperação (...) da qualidade de vida” </w:t>
      </w:r>
      <w:r w:rsidRPr="001249A8">
        <w:t>como abrangendo academias, eis que a seção em que estas se incluem na CNAE não faz qualquer menção a tais expressões. Conforme sua nota explicativa, a seção de “Artes, Cultura, Esporte e Recreação” compreende</w:t>
      </w:r>
      <w:r w:rsidRPr="001249A8">
        <w:rPr>
          <w:i/>
        </w:rPr>
        <w:t xml:space="preserve"> “atividades destinadas a satisfazer os </w:t>
      </w:r>
      <w:r w:rsidRPr="001249A8">
        <w:rPr>
          <w:b/>
          <w:i/>
        </w:rPr>
        <w:t>interesses culturais, de entretenimento e recreativos da população</w:t>
      </w:r>
      <w:r w:rsidRPr="001249A8">
        <w:rPr>
          <w:i/>
        </w:rPr>
        <w:t xml:space="preserve">”. </w:t>
      </w:r>
    </w:p>
    <w:p w14:paraId="429462AA" w14:textId="77777777" w:rsidR="00B466FB" w:rsidRPr="001249A8" w:rsidRDefault="00B466FB" w:rsidP="00B466FB">
      <w:pPr>
        <w:pStyle w:val="PargrafodaLista"/>
      </w:pPr>
    </w:p>
    <w:p w14:paraId="5199EAD3" w14:textId="77777777" w:rsidR="00143AB3" w:rsidRPr="001249A8" w:rsidRDefault="00B466FB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t xml:space="preserve">Entender tais categorias como incluídas nos vagos conceitos de </w:t>
      </w:r>
      <w:r w:rsidRPr="001249A8">
        <w:rPr>
          <w:i/>
        </w:rPr>
        <w:t xml:space="preserve">“bem estar” </w:t>
      </w:r>
      <w:r w:rsidRPr="001249A8">
        <w:t>e</w:t>
      </w:r>
      <w:r w:rsidRPr="001249A8">
        <w:rPr>
          <w:i/>
        </w:rPr>
        <w:t xml:space="preserve"> “qualidade de vida”</w:t>
      </w:r>
      <w:r w:rsidRPr="001249A8">
        <w:t xml:space="preserve"> implicaria não apenas adentrar a discricionariedade absoluta – porque subjetivos e relativos – como estendê-los a </w:t>
      </w:r>
      <w:r w:rsidRPr="001249A8">
        <w:lastRenderedPageBreak/>
        <w:t>todas as demais atividades daquela seção, assegurando até mesmo o ingresso do consumidor numa discoteca acompan</w:t>
      </w:r>
      <w:r w:rsidR="00830731" w:rsidRPr="001249A8">
        <w:t>hado por seu professor de dança.</w:t>
      </w:r>
      <w:r w:rsidRPr="001249A8">
        <w:t xml:space="preserve"> </w:t>
      </w:r>
    </w:p>
    <w:p w14:paraId="18D27D0B" w14:textId="77777777" w:rsidR="00143AB3" w:rsidRPr="001249A8" w:rsidRDefault="00143AB3" w:rsidP="00143AB3">
      <w:pPr>
        <w:pStyle w:val="PargrafodaLista"/>
        <w:rPr>
          <w:b/>
        </w:rPr>
      </w:pPr>
    </w:p>
    <w:p w14:paraId="5E13C10C" w14:textId="77777777" w:rsidR="00143AB3" w:rsidRPr="001249A8" w:rsidRDefault="00830731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t xml:space="preserve">Induvidoso, portanto, ser a lei inaplicável às academias, por incompatibilidade de seus conceitos indeterminados com a classificação da atividade na CNAE. </w:t>
      </w:r>
      <w:r w:rsidRPr="001249A8">
        <w:rPr>
          <w:b/>
        </w:rPr>
        <w:t>Interpretação diversa implica violação frontal do art. 5º, II, da Constituição Federal, por impor obrigação sem que a lei a atribua a tais estabelecimentos.</w:t>
      </w:r>
    </w:p>
    <w:p w14:paraId="36E1D016" w14:textId="77777777" w:rsidR="00FF1673" w:rsidRPr="001249A8" w:rsidRDefault="00FF1673" w:rsidP="00FF1673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0FF8B6F5" w14:textId="77777777" w:rsidR="00064F00" w:rsidRPr="001249A8" w:rsidRDefault="00064F00" w:rsidP="00830731">
      <w:pPr>
        <w:pStyle w:val="Cabealho"/>
        <w:tabs>
          <w:tab w:val="left" w:pos="426"/>
          <w:tab w:val="left" w:pos="2552"/>
        </w:tabs>
        <w:suppressAutoHyphens/>
        <w:jc w:val="both"/>
        <w:rPr>
          <w:i/>
        </w:rPr>
      </w:pPr>
    </w:p>
    <w:p w14:paraId="538F9C1C" w14:textId="77777777" w:rsidR="00064F00" w:rsidRPr="001249A8" w:rsidRDefault="00064F00" w:rsidP="00064F00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</w:p>
    <w:p w14:paraId="4764C679" w14:textId="77777777" w:rsidR="00830731" w:rsidRPr="001249A8" w:rsidRDefault="00FF1673" w:rsidP="00830731">
      <w:pPr>
        <w:pStyle w:val="PargrafodaLista"/>
        <w:ind w:left="1985"/>
        <w:jc w:val="both"/>
        <w:rPr>
          <w:b/>
        </w:rPr>
      </w:pPr>
      <w:r w:rsidRPr="001249A8">
        <w:rPr>
          <w:b/>
        </w:rPr>
        <w:t xml:space="preserve">B) </w:t>
      </w:r>
      <w:r w:rsidR="00830731" w:rsidRPr="001249A8">
        <w:rPr>
          <w:b/>
          <w:u w:val="single"/>
        </w:rPr>
        <w:t>Inexistência de proibição de cobrança aos profissionais pelas academias, no texto da lei</w:t>
      </w:r>
    </w:p>
    <w:p w14:paraId="001EE3CE" w14:textId="77777777" w:rsidR="00830731" w:rsidRPr="001249A8" w:rsidRDefault="00830731" w:rsidP="00830731">
      <w:pPr>
        <w:pStyle w:val="PargrafodaLista"/>
        <w:ind w:left="1985"/>
        <w:jc w:val="both"/>
        <w:rPr>
          <w:b/>
        </w:rPr>
      </w:pPr>
    </w:p>
    <w:p w14:paraId="3C161321" w14:textId="77777777" w:rsidR="00FF1673" w:rsidRPr="001249A8" w:rsidRDefault="00FF1673" w:rsidP="00FF1673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35E8A2CC" w14:textId="77777777" w:rsidR="00FF1673" w:rsidRPr="001249A8" w:rsidRDefault="006B2DF5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Sem prejuízo da acima referida inaplicabilidade, a suposta proibição de cobrança de taxas dos profissionais de educação física, pelas academias, não está positivada na própria lei. Pelo contrário, quando tratou especificamente da cobrança de “custo extra” para o exercício do direito do consumidor de “</w:t>
      </w:r>
      <w:r w:rsidRPr="001249A8">
        <w:rPr>
          <w:i/>
        </w:rPr>
        <w:t xml:space="preserve">ser acompanhado e assistido por profissional de sua confiança” </w:t>
      </w:r>
      <w:r w:rsidRPr="001249A8">
        <w:t>(art. 2º, III), a lei fez menção exclusiva à cobrança direcionada aos consumidores:</w:t>
      </w:r>
      <w:r w:rsidRPr="001249A8">
        <w:rPr>
          <w:i/>
        </w:rPr>
        <w:t xml:space="preserve"> </w:t>
      </w:r>
    </w:p>
    <w:p w14:paraId="38BA2AC0" w14:textId="77777777" w:rsidR="006B2DF5" w:rsidRPr="001249A8" w:rsidRDefault="006B2DF5" w:rsidP="006B2DF5">
      <w:pPr>
        <w:pStyle w:val="Cabealho"/>
        <w:tabs>
          <w:tab w:val="left" w:pos="426"/>
          <w:tab w:val="left" w:pos="2552"/>
        </w:tabs>
        <w:suppressAutoHyphens/>
        <w:jc w:val="both"/>
      </w:pPr>
    </w:p>
    <w:p w14:paraId="5906DBE5" w14:textId="77777777" w:rsidR="006B2DF5" w:rsidRPr="001249A8" w:rsidRDefault="006B2DF5" w:rsidP="006B2DF5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 xml:space="preserve">§ 3º As entidades não podem cobrar custo extra </w:t>
      </w:r>
      <w:r w:rsidRPr="001249A8">
        <w:rPr>
          <w:b/>
          <w:i/>
        </w:rPr>
        <w:t>dos consumidores.</w:t>
      </w:r>
    </w:p>
    <w:p w14:paraId="772EB95A" w14:textId="77777777" w:rsidR="006B2DF5" w:rsidRPr="001249A8" w:rsidRDefault="006B2DF5" w:rsidP="006B2DF5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5689B7BE" w14:textId="77777777" w:rsidR="006B2DF5" w:rsidRPr="001249A8" w:rsidRDefault="006B2DF5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Se a norma </w:t>
      </w:r>
      <w:r w:rsidR="00B720CB">
        <w:t>pretendia</w:t>
      </w:r>
      <w:r w:rsidRPr="001249A8">
        <w:t xml:space="preserve"> </w:t>
      </w:r>
      <w:r w:rsidR="00965BAF" w:rsidRPr="001249A8">
        <w:t xml:space="preserve">vedar também a cobrança de taxas direcionada aos profissionais, pelas academias, </w:t>
      </w:r>
      <w:r w:rsidR="00B720CB">
        <w:t>deveria tê-lo</w:t>
      </w:r>
      <w:r w:rsidR="00965BAF" w:rsidRPr="001249A8">
        <w:t xml:space="preserve"> dito nesse mesmo parágrafo, acrescentando as palavras “e dos profissionais que os acompanharem </w:t>
      </w:r>
      <w:r w:rsidR="00106688" w:rsidRPr="001249A8">
        <w:t>e</w:t>
      </w:r>
      <w:r w:rsidR="00965BAF" w:rsidRPr="001249A8">
        <w:t xml:space="preserve"> assistirem”. </w:t>
      </w:r>
      <w:r w:rsidR="00106688" w:rsidRPr="001249A8">
        <w:t>Ao deixar de fazê-lo, o próprio texto legal impede interpretação extensiva e delimita o âmbito da proibição. É cediço que as leis devem ser interpretadas não apenas pelo que dizem mas, também, pelo que não dizem.</w:t>
      </w:r>
    </w:p>
    <w:p w14:paraId="7C5ACC36" w14:textId="77777777" w:rsidR="009E5AB3" w:rsidRPr="001249A8" w:rsidRDefault="009E5AB3" w:rsidP="009E5AB3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42592BCD" w14:textId="77777777" w:rsidR="009E5AB3" w:rsidRPr="001249A8" w:rsidRDefault="009E5AB3" w:rsidP="00243052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Essa conclusão em nada pode ser alterada pela </w:t>
      </w:r>
      <w:r w:rsidR="008859F4" w:rsidRPr="001249A8">
        <w:t xml:space="preserve">expressão </w:t>
      </w:r>
      <w:r w:rsidR="008859F4" w:rsidRPr="001249A8">
        <w:rPr>
          <w:i/>
        </w:rPr>
        <w:t>“sem custo adicional para as partes”</w:t>
      </w:r>
      <w:r w:rsidR="008859F4" w:rsidRPr="001249A8">
        <w:t xml:space="preserve"> contida na </w:t>
      </w:r>
      <w:r w:rsidRPr="001249A8">
        <w:t>redação do art. 3º da lei</w:t>
      </w:r>
      <w:r w:rsidR="008859F4" w:rsidRPr="001249A8">
        <w:t>, abaixo transcrito:</w:t>
      </w:r>
    </w:p>
    <w:p w14:paraId="71F23ECC" w14:textId="77777777" w:rsidR="009E5AB3" w:rsidRPr="001249A8" w:rsidRDefault="009E5AB3" w:rsidP="008859F4">
      <w:pPr>
        <w:spacing w:before="100" w:beforeAutospacing="1" w:after="100" w:afterAutospacing="1"/>
        <w:ind w:left="1134"/>
        <w:jc w:val="both"/>
        <w:rPr>
          <w:i/>
        </w:rPr>
      </w:pPr>
      <w:r w:rsidRPr="001249A8">
        <w:rPr>
          <w:i/>
        </w:rPr>
        <w:t>Art. 3º As prestadoras dos serviços de que trata esta Lei ficam obrigadas a afixar, em local visível, quadro informativo com os seguintes termos: "O consumidor poderá ser acompanhado e orientado por profissional de sua livre escolha e confiança, sem c</w:t>
      </w:r>
      <w:r w:rsidR="008859F4" w:rsidRPr="001249A8">
        <w:rPr>
          <w:i/>
        </w:rPr>
        <w:t>usto adicional para as partes.</w:t>
      </w:r>
    </w:p>
    <w:p w14:paraId="75600474" w14:textId="77777777" w:rsidR="00106688" w:rsidRPr="001249A8" w:rsidRDefault="00106688" w:rsidP="00106688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7F97C927" w14:textId="77777777" w:rsidR="008859F4" w:rsidRPr="001249A8" w:rsidRDefault="008859F4" w:rsidP="008859F4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O objetivo declarado e expresso dessa norma é apenas o </w:t>
      </w:r>
      <w:r w:rsidR="00032762">
        <w:t xml:space="preserve">de </w:t>
      </w:r>
      <w:r w:rsidR="00ED07B0" w:rsidRPr="001249A8">
        <w:t xml:space="preserve">assegurar a divulgação </w:t>
      </w:r>
      <w:r w:rsidR="00E46E30" w:rsidRPr="001249A8">
        <w:t>d</w:t>
      </w:r>
      <w:r w:rsidR="00ED07B0" w:rsidRPr="001249A8">
        <w:t>o</w:t>
      </w:r>
      <w:r w:rsidRPr="001249A8">
        <w:t xml:space="preserve"> que na lei se contém, e não o de criar obrigação que nela já não esteja prevista. Sua natureza é explicativa, não podendo o aviso </w:t>
      </w:r>
      <w:r w:rsidR="00ED07B0" w:rsidRPr="001249A8">
        <w:t xml:space="preserve">nela </w:t>
      </w:r>
      <w:r w:rsidR="00E46E30" w:rsidRPr="001249A8">
        <w:t>exigido</w:t>
      </w:r>
      <w:r w:rsidR="00ED07B0" w:rsidRPr="001249A8">
        <w:t xml:space="preserve">, por óbvio, ser interpretado como implicando obrigação que a lei não </w:t>
      </w:r>
      <w:r w:rsidR="00ED07B0" w:rsidRPr="001249A8">
        <w:lastRenderedPageBreak/>
        <w:t>impôs. Tendo o art. 2º, parágrafo 3º, proibido a cobrança de “custos extras” apenas dos consumidores, sem estendê-la aos profissionais, não pode o texto que dá publicidade a essa mesma norma ter a expressão “partes” interpretada como abrangendo estes últimos.</w:t>
      </w:r>
    </w:p>
    <w:p w14:paraId="7D0CD679" w14:textId="77777777" w:rsidR="00ED07B0" w:rsidRPr="001249A8" w:rsidRDefault="00ED07B0" w:rsidP="00ED07B0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708CE327" w14:textId="77777777" w:rsidR="00ED07B0" w:rsidRPr="001249A8" w:rsidRDefault="00ED07B0" w:rsidP="008859F4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rPr>
          <w:b/>
        </w:rPr>
        <w:t>Interpretação que imponha tal proibição, sem que a mesma esteja prevista na lei, novamente implica violação do art. 5º, II, da Constituição Federal</w:t>
      </w:r>
      <w:r w:rsidR="00E46E30" w:rsidRPr="001249A8">
        <w:rPr>
          <w:b/>
        </w:rPr>
        <w:t>.</w:t>
      </w:r>
    </w:p>
    <w:p w14:paraId="67F35177" w14:textId="77777777" w:rsidR="008859F4" w:rsidRPr="001249A8" w:rsidRDefault="008859F4" w:rsidP="008859F4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7C893DA2" w14:textId="06A6561C" w:rsidR="00311814" w:rsidRPr="001249A8" w:rsidRDefault="00106688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Nem se pretenda, por ou</w:t>
      </w:r>
      <w:r w:rsidR="009E5AB3" w:rsidRPr="001249A8">
        <w:t>t</w:t>
      </w:r>
      <w:r w:rsidRPr="001249A8">
        <w:t xml:space="preserve">ro lado, que essa inexistência de proibição expressa possa ser superada por uma interpretação supostamente conforme ao “espírito da lei” ou a uma presumida intenção do legislador, porque </w:t>
      </w:r>
      <w:r w:rsidR="00311814" w:rsidRPr="001249A8">
        <w:t xml:space="preserve">dita proibição </w:t>
      </w:r>
      <w:r w:rsidR="00032762">
        <w:t xml:space="preserve">– como se verá – </w:t>
      </w:r>
      <w:r w:rsidR="00311814" w:rsidRPr="001249A8">
        <w:t xml:space="preserve">seria formal e materialmente inconstitucional. Em tal circunstância, impossível ao intérprete apegar-se </w:t>
      </w:r>
      <w:r w:rsidR="009E5AB3" w:rsidRPr="001249A8">
        <w:t xml:space="preserve">a intenções, como explica </w:t>
      </w:r>
      <w:r w:rsidR="00311814" w:rsidRPr="001249A8">
        <w:t>ROBERTA SIMÕES NASCIMENTO</w:t>
      </w:r>
      <w:r w:rsidR="009E5AB3" w:rsidRPr="001249A8">
        <w:t xml:space="preserve"> (destaques nossos)</w:t>
      </w:r>
      <w:r w:rsidR="009E5AB3" w:rsidRPr="001249A8">
        <w:rPr>
          <w:rStyle w:val="Refdenotaderodap"/>
        </w:rPr>
        <w:footnoteReference w:id="2"/>
      </w:r>
      <w:r w:rsidR="009E5AB3" w:rsidRPr="001249A8">
        <w:t>:</w:t>
      </w:r>
    </w:p>
    <w:p w14:paraId="380E7646" w14:textId="77777777" w:rsidR="00311814" w:rsidRPr="001249A8" w:rsidRDefault="00311814" w:rsidP="00311814">
      <w:pPr>
        <w:pStyle w:val="PargrafodaLista"/>
      </w:pPr>
    </w:p>
    <w:p w14:paraId="1DDC302D" w14:textId="77777777" w:rsidR="00311814" w:rsidRPr="001249A8" w:rsidRDefault="00311814" w:rsidP="00311814">
      <w:pPr>
        <w:pStyle w:val="PargrafodaLista"/>
      </w:pPr>
    </w:p>
    <w:p w14:paraId="2330F289" w14:textId="77777777" w:rsidR="00311814" w:rsidRPr="001249A8" w:rsidRDefault="00311814" w:rsidP="00311814">
      <w:pPr>
        <w:pStyle w:val="PargrafodaLista"/>
        <w:ind w:left="1134"/>
        <w:jc w:val="both"/>
        <w:rPr>
          <w:rStyle w:val="markedcontent"/>
          <w:i/>
        </w:rPr>
      </w:pPr>
      <w:r w:rsidRPr="001249A8">
        <w:rPr>
          <w:rStyle w:val="markedcontent"/>
          <w:i/>
        </w:rPr>
        <w:t>O problema envolvido na intenção inconstitucional gira em torno da força que tal intenção</w:t>
      </w:r>
      <w:r w:rsidRPr="001249A8">
        <w:rPr>
          <w:i/>
        </w:rPr>
        <w:t xml:space="preserve"> </w:t>
      </w:r>
      <w:r w:rsidRPr="001249A8">
        <w:rPr>
          <w:rStyle w:val="markedcontent"/>
          <w:i/>
        </w:rPr>
        <w:t>deve ter, e não da interpretação de seu significa-</w:t>
      </w:r>
      <w:r w:rsidRPr="001249A8">
        <w:rPr>
          <w:i/>
        </w:rPr>
        <w:br/>
      </w:r>
      <w:r w:rsidRPr="001249A8">
        <w:rPr>
          <w:rStyle w:val="markedcontent"/>
          <w:i/>
        </w:rPr>
        <w:t xml:space="preserve">do. Em geral, a intenção é clara, mas </w:t>
      </w:r>
      <w:r w:rsidRPr="001249A8">
        <w:rPr>
          <w:rStyle w:val="markedcontent"/>
          <w:b/>
          <w:i/>
        </w:rPr>
        <w:t>apegar-se</w:t>
      </w:r>
      <w:r w:rsidRPr="001249A8">
        <w:rPr>
          <w:b/>
          <w:i/>
        </w:rPr>
        <w:t xml:space="preserve"> </w:t>
      </w:r>
      <w:r w:rsidRPr="001249A8">
        <w:rPr>
          <w:rStyle w:val="markedcontent"/>
          <w:b/>
          <w:i/>
        </w:rPr>
        <w:t>ao que quis o legislador não é um argumento</w:t>
      </w:r>
      <w:r w:rsidRPr="001249A8">
        <w:rPr>
          <w:b/>
          <w:i/>
        </w:rPr>
        <w:t xml:space="preserve"> </w:t>
      </w:r>
      <w:r w:rsidRPr="001249A8">
        <w:rPr>
          <w:rStyle w:val="markedcontent"/>
          <w:b/>
          <w:i/>
        </w:rPr>
        <w:t>válido quando o texto constitucional o proíba.</w:t>
      </w:r>
    </w:p>
    <w:p w14:paraId="27D5307C" w14:textId="77777777" w:rsidR="00311814" w:rsidRPr="001249A8" w:rsidRDefault="00311814" w:rsidP="00311814">
      <w:pPr>
        <w:pStyle w:val="PargrafodaLista"/>
        <w:ind w:left="1134"/>
        <w:jc w:val="both"/>
        <w:rPr>
          <w:rStyle w:val="markedcontent"/>
          <w:i/>
        </w:rPr>
      </w:pPr>
    </w:p>
    <w:p w14:paraId="38B1E029" w14:textId="77777777" w:rsidR="00311814" w:rsidRPr="001249A8" w:rsidRDefault="00311814" w:rsidP="00ED07B0">
      <w:pPr>
        <w:jc w:val="both"/>
        <w:rPr>
          <w:i/>
        </w:rPr>
      </w:pPr>
    </w:p>
    <w:p w14:paraId="1AF159F1" w14:textId="77777777" w:rsidR="00106688" w:rsidRPr="001249A8" w:rsidRDefault="00311814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 </w:t>
      </w:r>
      <w:r w:rsidR="00ED07B0" w:rsidRPr="001249A8">
        <w:t xml:space="preserve">Em suma, </w:t>
      </w:r>
      <w:r w:rsidR="00EC4B1C" w:rsidRPr="001249A8">
        <w:t xml:space="preserve">não pode a lei ser interpretada de forma que viole a Constituição Federal, </w:t>
      </w:r>
      <w:r w:rsidR="00591682" w:rsidRPr="001249A8">
        <w:t>interferindo em relação contratual de dois fornecedores, ainda que sob a roupagem de proteger o consumidor – e s</w:t>
      </w:r>
      <w:r w:rsidR="00EC4B1C" w:rsidRPr="001249A8">
        <w:t xml:space="preserve">ão muitas as violações que decorreriam de semelhante interpretação, como a partir de agora se </w:t>
      </w:r>
      <w:r w:rsidR="00032762">
        <w:t>demonstrará</w:t>
      </w:r>
      <w:r w:rsidR="00EC4B1C" w:rsidRPr="001249A8">
        <w:t>.</w:t>
      </w:r>
    </w:p>
    <w:p w14:paraId="38142C3F" w14:textId="77777777" w:rsidR="00F0541F" w:rsidRPr="001249A8" w:rsidRDefault="00F0541F" w:rsidP="00F0541F">
      <w:pPr>
        <w:pStyle w:val="Cabealho"/>
        <w:tabs>
          <w:tab w:val="left" w:pos="426"/>
        </w:tabs>
        <w:suppressAutoHyphens/>
        <w:jc w:val="both"/>
      </w:pPr>
    </w:p>
    <w:p w14:paraId="78F2417A" w14:textId="77777777" w:rsidR="00EC4B1C" w:rsidRPr="001249A8" w:rsidRDefault="00EC4B1C" w:rsidP="00F0541F">
      <w:pPr>
        <w:pStyle w:val="Cabealho"/>
        <w:tabs>
          <w:tab w:val="left" w:pos="426"/>
        </w:tabs>
        <w:suppressAutoHyphens/>
        <w:jc w:val="both"/>
      </w:pPr>
    </w:p>
    <w:p w14:paraId="00C6E84D" w14:textId="77777777" w:rsidR="00830731" w:rsidRPr="001249A8" w:rsidRDefault="00EC4B1C" w:rsidP="00830731">
      <w:pPr>
        <w:pStyle w:val="PargrafodaLista"/>
        <w:ind w:left="1985"/>
        <w:jc w:val="both"/>
        <w:rPr>
          <w:b/>
        </w:rPr>
      </w:pPr>
      <w:r w:rsidRPr="001249A8">
        <w:rPr>
          <w:b/>
        </w:rPr>
        <w:t>C</w:t>
      </w:r>
      <w:r w:rsidR="00830731" w:rsidRPr="001249A8">
        <w:rPr>
          <w:b/>
        </w:rPr>
        <w:t xml:space="preserve">) </w:t>
      </w:r>
      <w:r w:rsidRPr="001249A8">
        <w:rPr>
          <w:b/>
          <w:u w:val="single"/>
        </w:rPr>
        <w:t>Inconstitucionalidade da proibição de cobrança direcionada ao profissional, pela academia, por violação da competência legislativa da União Federal</w:t>
      </w:r>
    </w:p>
    <w:p w14:paraId="69CA7290" w14:textId="77777777" w:rsidR="00830731" w:rsidRPr="001249A8" w:rsidRDefault="00830731" w:rsidP="00F0541F">
      <w:pPr>
        <w:pStyle w:val="Cabealho"/>
        <w:tabs>
          <w:tab w:val="left" w:pos="426"/>
        </w:tabs>
        <w:suppressAutoHyphens/>
        <w:jc w:val="both"/>
      </w:pPr>
    </w:p>
    <w:p w14:paraId="1699FF0B" w14:textId="77777777" w:rsidR="00EC4B1C" w:rsidRPr="001249A8" w:rsidRDefault="00EC4B1C" w:rsidP="00F0541F">
      <w:pPr>
        <w:pStyle w:val="Cabealho"/>
        <w:tabs>
          <w:tab w:val="left" w:pos="426"/>
        </w:tabs>
        <w:suppressAutoHyphens/>
        <w:jc w:val="both"/>
      </w:pPr>
    </w:p>
    <w:p w14:paraId="2CDA0A2F" w14:textId="77777777" w:rsidR="00F0541F" w:rsidRPr="001249A8" w:rsidRDefault="00EC4B1C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Interpretar a lei ora em comento para estender a proibição da cobrança de “custos extras” ou “custo adicional” também ao profissional de educação física que presta serviço ao consumidor implica regrar</w:t>
      </w:r>
      <w:r w:rsidR="00F0541F" w:rsidRPr="001249A8">
        <w:t xml:space="preserve"> a relação jurídica existente entre dois fornecedores de serviços (academias e “personal trainers”), </w:t>
      </w:r>
      <w:r w:rsidRPr="001249A8">
        <w:t>invadindo</w:t>
      </w:r>
      <w:r w:rsidR="00F0541F" w:rsidRPr="001249A8">
        <w:t xml:space="preserve"> a esfera do direito civil, sobre a qual a União tem competência exclusiva para legislar (art. 22, I, da Constituição Federal).</w:t>
      </w:r>
    </w:p>
    <w:p w14:paraId="43C587F6" w14:textId="77777777" w:rsidR="00F0541F" w:rsidRPr="001249A8" w:rsidRDefault="00F0541F" w:rsidP="00FC0F32">
      <w:pPr>
        <w:pStyle w:val="Cabealho"/>
        <w:tabs>
          <w:tab w:val="left" w:pos="426"/>
          <w:tab w:val="left" w:pos="2552"/>
        </w:tabs>
        <w:suppressAutoHyphens/>
        <w:jc w:val="both"/>
        <w:rPr>
          <w:color w:val="000000"/>
        </w:rPr>
      </w:pPr>
    </w:p>
    <w:p w14:paraId="0BFDCEDF" w14:textId="77777777" w:rsidR="00FC0F32" w:rsidRPr="001249A8" w:rsidRDefault="00FC0F32" w:rsidP="00FC0F32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Apreciando lei estadual em que a proibição de cobrança de taxa direcionada aos profissionais, pelas academias, fora estatuída </w:t>
      </w:r>
      <w:r w:rsidRPr="001249A8">
        <w:rPr>
          <w:b/>
        </w:rPr>
        <w:t xml:space="preserve">de forma </w:t>
      </w:r>
      <w:r w:rsidRPr="001249A8">
        <w:rPr>
          <w:b/>
        </w:rPr>
        <w:lastRenderedPageBreak/>
        <w:t>expressa</w:t>
      </w:r>
      <w:r w:rsidRPr="001249A8">
        <w:t>, o Tribunal de Justiça do Estado do Maranhão declarou inconstitucional a norma por unanimidade</w:t>
      </w:r>
      <w:r w:rsidR="00C308EF" w:rsidRPr="001249A8">
        <w:t xml:space="preserve"> (doc. junto)</w:t>
      </w:r>
      <w:r w:rsidR="00D02B02" w:rsidRPr="001249A8">
        <w:t>:</w:t>
      </w:r>
    </w:p>
    <w:p w14:paraId="22F60712" w14:textId="77777777" w:rsidR="00FC0F32" w:rsidRPr="001249A8" w:rsidRDefault="00FC0F32" w:rsidP="00FC0F32">
      <w:pPr>
        <w:pStyle w:val="PargrafodaLista"/>
        <w:ind w:left="1134"/>
        <w:jc w:val="both"/>
      </w:pPr>
    </w:p>
    <w:p w14:paraId="537A1102" w14:textId="77777777" w:rsidR="00C308EF" w:rsidRPr="001249A8" w:rsidRDefault="00C308EF" w:rsidP="00FC0F32">
      <w:pPr>
        <w:pStyle w:val="PargrafodaLista"/>
        <w:ind w:left="1134"/>
        <w:jc w:val="both"/>
      </w:pPr>
    </w:p>
    <w:p w14:paraId="0CEB60E8" w14:textId="77777777" w:rsidR="00FC0F32" w:rsidRPr="00591682" w:rsidRDefault="00FC0F32" w:rsidP="00FC0F32">
      <w:pPr>
        <w:autoSpaceDE w:val="0"/>
        <w:autoSpaceDN w:val="0"/>
        <w:adjustRightInd w:val="0"/>
        <w:ind w:left="1134"/>
        <w:jc w:val="both"/>
        <w:rPr>
          <w:rFonts w:eastAsiaTheme="minorHAnsi" w:cs="Arial"/>
          <w:i/>
          <w:color w:val="000000"/>
          <w:lang w:eastAsia="en-US"/>
        </w:rPr>
      </w:pPr>
      <w:r w:rsidRPr="001249A8">
        <w:rPr>
          <w:rFonts w:eastAsiaTheme="minorHAnsi" w:cs="Arial"/>
          <w:i/>
          <w:color w:val="000000"/>
          <w:lang w:eastAsia="en-US"/>
        </w:rPr>
        <w:t xml:space="preserve">APELAÇÃO CÍVEL. AÇÃO DECLARATÓRIA E CONDENATÓRIA. LEI ESTADUAL. ISENÇÃO DE TAXA ADICIONAL PARA ACESSO DE </w:t>
      </w:r>
      <w:r w:rsidRPr="001249A8">
        <w:rPr>
          <w:rFonts w:eastAsiaTheme="minorHAnsi" w:cs="Arial"/>
          <w:i/>
          <w:iCs/>
          <w:color w:val="000000"/>
          <w:lang w:eastAsia="en-US"/>
        </w:rPr>
        <w:t xml:space="preserve">“PERSONAL TRAINER” </w:t>
      </w:r>
      <w:r w:rsidRPr="001249A8">
        <w:rPr>
          <w:rFonts w:eastAsiaTheme="minorHAnsi" w:cs="Arial"/>
          <w:i/>
          <w:color w:val="000000"/>
          <w:lang w:eastAsia="en-US"/>
        </w:rPr>
        <w:t>ÀS ACADEMIAS DE GINÁSTICA DO</w:t>
      </w:r>
      <w:r w:rsidRPr="00591682">
        <w:rPr>
          <w:rFonts w:eastAsiaTheme="minorHAnsi" w:cs="Arial"/>
          <w:i/>
          <w:color w:val="000000"/>
          <w:lang w:eastAsia="en-US"/>
        </w:rPr>
        <w:t xml:space="preserve"> ESTADO DO MARANHÃO. INCONSTITUCIONALIDADE. PRECEDENTES DO TJ/MA, STJ E STF. APELAÇÃO DESPROVIDA.</w:t>
      </w:r>
    </w:p>
    <w:p w14:paraId="3CF15C54" w14:textId="77777777" w:rsidR="00FC0F32" w:rsidRPr="00591682" w:rsidRDefault="00FC0F32" w:rsidP="00FC0F32">
      <w:pPr>
        <w:autoSpaceDE w:val="0"/>
        <w:autoSpaceDN w:val="0"/>
        <w:adjustRightInd w:val="0"/>
        <w:ind w:left="1134"/>
        <w:jc w:val="both"/>
        <w:rPr>
          <w:rFonts w:eastAsiaTheme="minorHAnsi" w:cs="Arial"/>
          <w:i/>
          <w:color w:val="000000"/>
          <w:lang w:eastAsia="en-US"/>
        </w:rPr>
      </w:pPr>
    </w:p>
    <w:p w14:paraId="126FD743" w14:textId="77777777" w:rsidR="00FC0F32" w:rsidRPr="00591682" w:rsidRDefault="00FC0F32" w:rsidP="00FC0F32">
      <w:pPr>
        <w:autoSpaceDE w:val="0"/>
        <w:autoSpaceDN w:val="0"/>
        <w:adjustRightInd w:val="0"/>
        <w:ind w:left="1134"/>
        <w:jc w:val="both"/>
        <w:rPr>
          <w:rFonts w:eastAsiaTheme="minorHAnsi" w:cs="Arial"/>
          <w:i/>
          <w:color w:val="000000"/>
          <w:lang w:eastAsia="en-US"/>
        </w:rPr>
      </w:pPr>
      <w:r w:rsidRPr="00591682">
        <w:rPr>
          <w:rFonts w:eastAsiaTheme="minorHAnsi" w:cs="Arial"/>
          <w:i/>
          <w:color w:val="000000"/>
          <w:lang w:eastAsia="en-US"/>
        </w:rPr>
        <w:t xml:space="preserve">I. O conteúdo trazido pela Lei Estadual nº 11.093/2019 não é novo para esta Corte Estadual de Justiça, mormente para a Segunda Câmara Cível, órgão que apreciou, quando dos julgamentos dos Agravos de Instrumento nos 0807250-37.2019.8.10.0000 e 0807245-15.2019.8.10.0000, a constitucionalidade da Lei Municipal nº 6.452/2019, tendo, na ocasião, estabelecido o entendimento de que aquele ato normativo municipal extrapolava a competência legislativa conferida aos Municípios, invadindo a esfera de competência legislativa da União por legislar sobre Direito Civil (art. 22, I, da CF/1988), entendimento que, </w:t>
      </w:r>
      <w:r w:rsidRPr="00591682">
        <w:rPr>
          <w:rFonts w:eastAsiaTheme="minorHAnsi" w:cs="Arial"/>
          <w:i/>
          <w:iCs/>
          <w:color w:val="000000"/>
          <w:lang w:eastAsia="en-US"/>
        </w:rPr>
        <w:t>mutatis mutandis</w:t>
      </w:r>
      <w:r w:rsidRPr="00591682">
        <w:rPr>
          <w:rFonts w:eastAsiaTheme="minorHAnsi" w:cs="Arial"/>
          <w:i/>
          <w:color w:val="000000"/>
          <w:lang w:eastAsia="en-US"/>
        </w:rPr>
        <w:t>, deve ser dito da Lei Estadual nº 11.093/2019, mantendo-se a coerência, uniformidade e estabilidade do que vem sendo decidido pela Segunda Câmara Cível, em conformidade com o que preza o art. 926, caput, do CPC/2015.</w:t>
      </w:r>
    </w:p>
    <w:p w14:paraId="67A1E986" w14:textId="77777777" w:rsidR="00FC0F32" w:rsidRPr="00591682" w:rsidRDefault="00FC0F32" w:rsidP="00FC0F32">
      <w:pPr>
        <w:autoSpaceDE w:val="0"/>
        <w:autoSpaceDN w:val="0"/>
        <w:adjustRightInd w:val="0"/>
        <w:ind w:left="1134"/>
        <w:jc w:val="both"/>
        <w:rPr>
          <w:rFonts w:eastAsiaTheme="minorHAnsi" w:cs="Arial"/>
          <w:i/>
          <w:color w:val="000000"/>
          <w:lang w:eastAsia="en-US"/>
        </w:rPr>
      </w:pPr>
    </w:p>
    <w:p w14:paraId="49889EC2" w14:textId="77777777" w:rsidR="00FC0F32" w:rsidRPr="00591682" w:rsidRDefault="00FC0F32" w:rsidP="00C308EF">
      <w:pPr>
        <w:autoSpaceDE w:val="0"/>
        <w:autoSpaceDN w:val="0"/>
        <w:adjustRightInd w:val="0"/>
        <w:ind w:left="1134"/>
        <w:jc w:val="both"/>
        <w:rPr>
          <w:rFonts w:eastAsiaTheme="minorHAnsi" w:cs="Arial"/>
          <w:b/>
          <w:i/>
          <w:color w:val="00000A"/>
          <w:lang w:eastAsia="en-US"/>
        </w:rPr>
      </w:pPr>
      <w:r w:rsidRPr="00591682">
        <w:rPr>
          <w:rFonts w:eastAsiaTheme="minorHAnsi" w:cs="Arial"/>
          <w:b/>
          <w:i/>
          <w:color w:val="00000A"/>
          <w:lang w:eastAsia="en-US"/>
        </w:rPr>
        <w:t xml:space="preserve">II. A Lei Estadual nº 11.093/2019 que </w:t>
      </w:r>
      <w:r w:rsidRPr="00591682">
        <w:rPr>
          <w:rFonts w:eastAsiaTheme="minorHAnsi" w:cs="Arial"/>
          <w:b/>
          <w:i/>
          <w:iCs/>
          <w:color w:val="00000A"/>
          <w:lang w:eastAsia="en-US"/>
        </w:rPr>
        <w:t>“proíbe as academias d</w:t>
      </w:r>
      <w:r w:rsidR="00C308EF" w:rsidRPr="00591682">
        <w:rPr>
          <w:rFonts w:eastAsiaTheme="minorHAnsi" w:cs="Arial"/>
          <w:b/>
          <w:i/>
          <w:iCs/>
          <w:color w:val="00000A"/>
          <w:lang w:eastAsia="en-US"/>
        </w:rPr>
        <w:t xml:space="preserve">e cobrar dos chamados ‘personal </w:t>
      </w:r>
      <w:r w:rsidRPr="00591682">
        <w:rPr>
          <w:rFonts w:eastAsiaTheme="minorHAnsi" w:cs="Arial"/>
          <w:b/>
          <w:i/>
          <w:iCs/>
          <w:color w:val="00000A"/>
          <w:lang w:eastAsia="en-US"/>
        </w:rPr>
        <w:t>trainers’ (profissionais de educação física que oferecem serviços pers</w:t>
      </w:r>
      <w:r w:rsidR="00C308EF" w:rsidRPr="00591682">
        <w:rPr>
          <w:rFonts w:eastAsiaTheme="minorHAnsi" w:cs="Arial"/>
          <w:b/>
          <w:i/>
          <w:iCs/>
          <w:color w:val="00000A"/>
          <w:lang w:eastAsia="en-US"/>
        </w:rPr>
        <w:t xml:space="preserve">onalizados) qualquer valor para </w:t>
      </w:r>
      <w:r w:rsidRPr="00591682">
        <w:rPr>
          <w:rFonts w:eastAsiaTheme="minorHAnsi" w:cs="Arial"/>
          <w:b/>
          <w:i/>
          <w:iCs/>
          <w:color w:val="00000A"/>
          <w:lang w:eastAsia="en-US"/>
        </w:rPr>
        <w:t>seu ingresso na academia e utilização das instalações, o que habi</w:t>
      </w:r>
      <w:r w:rsidR="00C308EF" w:rsidRPr="00591682">
        <w:rPr>
          <w:rFonts w:eastAsiaTheme="minorHAnsi" w:cs="Arial"/>
          <w:b/>
          <w:i/>
          <w:iCs/>
          <w:color w:val="00000A"/>
          <w:lang w:eastAsia="en-US"/>
        </w:rPr>
        <w:t xml:space="preserve">tualmente fazem para orientar e </w:t>
      </w:r>
      <w:r w:rsidRPr="00591682">
        <w:rPr>
          <w:rFonts w:eastAsiaTheme="minorHAnsi" w:cs="Arial"/>
          <w:b/>
          <w:i/>
          <w:iCs/>
          <w:color w:val="00000A"/>
          <w:lang w:eastAsia="en-US"/>
        </w:rPr>
        <w:t xml:space="preserve">coordenar as atividades físicas de seus clientes” </w:t>
      </w:r>
      <w:r w:rsidRPr="00591682">
        <w:rPr>
          <w:rFonts w:eastAsiaTheme="minorHAnsi" w:cs="Arial"/>
          <w:b/>
          <w:i/>
          <w:color w:val="00000A"/>
          <w:lang w:eastAsia="en-US"/>
        </w:rPr>
        <w:t>invade o círculo de competências legislativas da</w:t>
      </w:r>
      <w:r w:rsidR="00C308EF" w:rsidRPr="00591682">
        <w:rPr>
          <w:rFonts w:eastAsiaTheme="minorHAnsi" w:cs="Arial"/>
          <w:b/>
          <w:i/>
          <w:iCs/>
          <w:color w:val="00000A"/>
          <w:lang w:eastAsia="en-US"/>
        </w:rPr>
        <w:t xml:space="preserve"> </w:t>
      </w:r>
      <w:r w:rsidRPr="00591682">
        <w:rPr>
          <w:rFonts w:eastAsiaTheme="minorHAnsi" w:cs="Arial"/>
          <w:b/>
          <w:i/>
          <w:color w:val="00000A"/>
          <w:lang w:eastAsia="en-US"/>
        </w:rPr>
        <w:t xml:space="preserve">União para legislar sobre Direito Civil (art. 22, I, da CF/1988), padecendo, </w:t>
      </w:r>
      <w:r w:rsidRPr="00591682">
        <w:rPr>
          <w:rFonts w:eastAsiaTheme="minorHAnsi" w:cs="Arial"/>
          <w:b/>
          <w:i/>
          <w:iCs/>
          <w:color w:val="00000A"/>
          <w:lang w:eastAsia="en-US"/>
        </w:rPr>
        <w:t>a priori</w:t>
      </w:r>
      <w:r w:rsidRPr="00591682">
        <w:rPr>
          <w:rFonts w:eastAsiaTheme="minorHAnsi" w:cs="Arial"/>
          <w:b/>
          <w:i/>
          <w:color w:val="00000A"/>
          <w:lang w:eastAsia="en-US"/>
        </w:rPr>
        <w:t>, de</w:t>
      </w:r>
      <w:r w:rsidR="00C308EF" w:rsidRPr="00591682">
        <w:rPr>
          <w:rFonts w:eastAsiaTheme="minorHAnsi" w:cs="Arial"/>
          <w:b/>
          <w:i/>
          <w:iCs/>
          <w:color w:val="00000A"/>
          <w:lang w:eastAsia="en-US"/>
        </w:rPr>
        <w:t xml:space="preserve"> </w:t>
      </w:r>
      <w:r w:rsidRPr="00591682">
        <w:rPr>
          <w:rFonts w:eastAsiaTheme="minorHAnsi" w:cs="Arial"/>
          <w:b/>
          <w:i/>
          <w:color w:val="00000A"/>
          <w:lang w:eastAsia="en-US"/>
        </w:rPr>
        <w:t>inconstitucionalidade formal orgânica.</w:t>
      </w:r>
    </w:p>
    <w:p w14:paraId="193F5398" w14:textId="77777777" w:rsidR="00C308EF" w:rsidRPr="00591682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Arial"/>
          <w:i/>
          <w:iCs/>
          <w:color w:val="00000A"/>
          <w:lang w:eastAsia="en-US"/>
        </w:rPr>
      </w:pPr>
    </w:p>
    <w:p w14:paraId="2D769CE7" w14:textId="77777777" w:rsidR="00FC0F32" w:rsidRPr="00591682" w:rsidRDefault="00C308EF" w:rsidP="00FC0F32">
      <w:pPr>
        <w:autoSpaceDE w:val="0"/>
        <w:autoSpaceDN w:val="0"/>
        <w:adjustRightInd w:val="0"/>
        <w:ind w:left="1134"/>
        <w:jc w:val="both"/>
        <w:rPr>
          <w:rFonts w:eastAsiaTheme="minorHAnsi" w:cs="Arial"/>
          <w:i/>
          <w:color w:val="000000"/>
          <w:lang w:eastAsia="en-US"/>
        </w:rPr>
      </w:pPr>
      <w:r w:rsidRPr="00591682">
        <w:rPr>
          <w:rFonts w:eastAsiaTheme="minorHAnsi" w:cs="Arial"/>
          <w:i/>
          <w:color w:val="000000"/>
          <w:lang w:eastAsia="en-US"/>
        </w:rPr>
        <w:t>II</w:t>
      </w:r>
      <w:r w:rsidR="00FC0F32" w:rsidRPr="00591682">
        <w:rPr>
          <w:rFonts w:eastAsiaTheme="minorHAnsi" w:cs="Arial"/>
          <w:i/>
          <w:color w:val="000000"/>
          <w:lang w:eastAsia="en-US"/>
        </w:rPr>
        <w:t xml:space="preserve">I . Apelação </w:t>
      </w:r>
      <w:r w:rsidR="00FC0F32" w:rsidRPr="00591682">
        <w:rPr>
          <w:rFonts w:eastAsiaTheme="minorHAnsi" w:cs="Arial"/>
          <w:b/>
          <w:bCs/>
          <w:i/>
          <w:color w:val="000000"/>
          <w:lang w:eastAsia="en-US"/>
        </w:rPr>
        <w:t>DESPROVIDA</w:t>
      </w:r>
      <w:r w:rsidR="00FC0F32" w:rsidRPr="00591682">
        <w:rPr>
          <w:rFonts w:eastAsiaTheme="minorHAnsi" w:cs="Arial"/>
          <w:i/>
          <w:color w:val="000000"/>
          <w:lang w:eastAsia="en-US"/>
        </w:rPr>
        <w:t>, de acordo com o parecer ministerial.</w:t>
      </w:r>
    </w:p>
    <w:p w14:paraId="3A6E039D" w14:textId="77777777" w:rsidR="00C308EF" w:rsidRDefault="00C308EF" w:rsidP="00FC0F32">
      <w:pPr>
        <w:autoSpaceDE w:val="0"/>
        <w:autoSpaceDN w:val="0"/>
        <w:adjustRightInd w:val="0"/>
        <w:ind w:left="1134"/>
        <w:jc w:val="both"/>
        <w:rPr>
          <w:rFonts w:eastAsiaTheme="minorHAnsi" w:cs="Arial"/>
          <w:color w:val="000000"/>
          <w:lang w:eastAsia="en-US"/>
        </w:rPr>
      </w:pPr>
    </w:p>
    <w:p w14:paraId="298D72A2" w14:textId="77777777" w:rsidR="00C308EF" w:rsidRPr="00FC0F32" w:rsidRDefault="00C308EF" w:rsidP="00FC0F32">
      <w:pPr>
        <w:autoSpaceDE w:val="0"/>
        <w:autoSpaceDN w:val="0"/>
        <w:adjustRightInd w:val="0"/>
        <w:ind w:left="1134"/>
        <w:jc w:val="both"/>
        <w:rPr>
          <w:rFonts w:eastAsiaTheme="minorHAnsi" w:cs="Arial"/>
          <w:color w:val="000000"/>
          <w:lang w:eastAsia="en-US"/>
        </w:rPr>
      </w:pPr>
    </w:p>
    <w:p w14:paraId="3273671A" w14:textId="77777777" w:rsidR="00C308EF" w:rsidRPr="001249A8" w:rsidRDefault="00C308E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Com idêntico fundamento na invasão de competência privativa da União Federal, o</w:t>
      </w:r>
      <w:r w:rsidR="00F0541F" w:rsidRPr="001249A8">
        <w:t xml:space="preserve"> </w:t>
      </w:r>
      <w:r w:rsidR="00591682" w:rsidRPr="001249A8">
        <w:t>Tribunal de Justiça do Estado de Sergipe, por seu Órgão Especial, declarou a inconstitucionalidade de lei municipal de Aracaju contendo a mesma proibição de cobrança (doc. junto)</w:t>
      </w:r>
      <w:r w:rsidR="00591682" w:rsidRPr="001249A8">
        <w:rPr>
          <w:rStyle w:val="Refdenotaderodap"/>
        </w:rPr>
        <w:footnoteReference w:id="3"/>
      </w:r>
      <w:r w:rsidR="00591682" w:rsidRPr="001249A8">
        <w:t>:</w:t>
      </w:r>
    </w:p>
    <w:p w14:paraId="10471768" w14:textId="77777777" w:rsidR="00C308EF" w:rsidRPr="001249A8" w:rsidRDefault="00C308EF" w:rsidP="00C308EF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1259A4C9" w14:textId="77777777" w:rsidR="00C308EF" w:rsidRPr="001249A8" w:rsidRDefault="00C308EF" w:rsidP="00C308EF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141368BF" w14:textId="77777777" w:rsidR="00C308EF" w:rsidRPr="001249A8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,Bold"/>
          <w:b/>
          <w:bCs/>
          <w:i/>
          <w:lang w:eastAsia="en-US"/>
        </w:rPr>
      </w:pPr>
      <w:r w:rsidRPr="001249A8">
        <w:rPr>
          <w:rFonts w:eastAsiaTheme="minorHAnsi" w:cs="Verdana,Bold"/>
          <w:b/>
          <w:bCs/>
          <w:i/>
          <w:lang w:eastAsia="en-US"/>
        </w:rPr>
        <w:t xml:space="preserve">MANDADO DE SEGURANÇA – Academia de Ginástica e Musculação – </w:t>
      </w:r>
      <w:r w:rsidRPr="001249A8">
        <w:rPr>
          <w:rFonts w:eastAsiaTheme="minorHAnsi" w:cs="Verdana,BoldItalic"/>
          <w:b/>
          <w:bCs/>
          <w:i/>
          <w:iCs/>
          <w:lang w:eastAsia="en-US"/>
        </w:rPr>
        <w:t xml:space="preserve">Personal trainer </w:t>
      </w:r>
      <w:r w:rsidRPr="001249A8">
        <w:rPr>
          <w:rFonts w:eastAsiaTheme="minorHAnsi" w:cs="Verdana,Bold"/>
          <w:b/>
          <w:bCs/>
          <w:i/>
          <w:lang w:eastAsia="en-US"/>
        </w:rPr>
        <w:t>– Cobrança de taxa pelo uso das instalações da academia – Lei municipal proibitiva da cobrança – Inconstitucionalidade ‘</w:t>
      </w:r>
      <w:r w:rsidRPr="001249A8">
        <w:rPr>
          <w:rFonts w:eastAsiaTheme="minorHAnsi" w:cs="Verdana,BoldItalic"/>
          <w:b/>
          <w:bCs/>
          <w:i/>
          <w:iCs/>
          <w:lang w:eastAsia="en-US"/>
        </w:rPr>
        <w:t>incidenter tantum</w:t>
      </w:r>
      <w:r w:rsidRPr="001249A8">
        <w:rPr>
          <w:rFonts w:eastAsiaTheme="minorHAnsi" w:cs="Verdana,Bold"/>
          <w:b/>
          <w:bCs/>
          <w:i/>
          <w:lang w:eastAsia="en-US"/>
        </w:rPr>
        <w:t xml:space="preserve">’ - Preliminar de ausência de interesse por inadequação da via eleita – Mandado de segurança </w:t>
      </w:r>
      <w:r w:rsidRPr="001249A8">
        <w:rPr>
          <w:rFonts w:eastAsiaTheme="minorHAnsi" w:cs="Verdana,Bold"/>
          <w:b/>
          <w:bCs/>
          <w:i/>
          <w:lang w:eastAsia="en-US"/>
        </w:rPr>
        <w:lastRenderedPageBreak/>
        <w:t xml:space="preserve">contra lei em tese – </w:t>
      </w:r>
      <w:r w:rsidRPr="001249A8">
        <w:rPr>
          <w:rFonts w:eastAsiaTheme="minorHAnsi" w:cs="Verdana,BoldItalic"/>
          <w:b/>
          <w:bCs/>
          <w:i/>
          <w:iCs/>
          <w:lang w:eastAsia="en-US"/>
        </w:rPr>
        <w:t xml:space="preserve">Mandamus </w:t>
      </w:r>
      <w:r w:rsidRPr="001249A8">
        <w:rPr>
          <w:rFonts w:eastAsiaTheme="minorHAnsi" w:cs="Verdana,Bold"/>
          <w:b/>
          <w:bCs/>
          <w:i/>
          <w:lang w:eastAsia="en-US"/>
        </w:rPr>
        <w:t>preventivo – Possibilidade – Rejeição da preliminar – Mérito – Direito civil – Uso da propriedade – Matéria</w:t>
      </w:r>
    </w:p>
    <w:p w14:paraId="47A623EE" w14:textId="77777777" w:rsidR="00C308EF" w:rsidRPr="001249A8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,Bold"/>
          <w:b/>
          <w:bCs/>
          <w:i/>
          <w:lang w:eastAsia="en-US"/>
        </w:rPr>
      </w:pPr>
      <w:r w:rsidRPr="001249A8">
        <w:rPr>
          <w:rFonts w:eastAsiaTheme="minorHAnsi" w:cs="Verdana,Bold"/>
          <w:b/>
          <w:bCs/>
          <w:i/>
          <w:lang w:eastAsia="en-US"/>
        </w:rPr>
        <w:t xml:space="preserve">de competência da União – Violação do art. 22, I, da Constituição Federal – Ordem concedida à unanimidade – Custas </w:t>
      </w:r>
      <w:r w:rsidRPr="001249A8">
        <w:rPr>
          <w:rFonts w:eastAsiaTheme="minorHAnsi" w:cs="Verdana,BoldItalic"/>
          <w:b/>
          <w:bCs/>
          <w:i/>
          <w:iCs/>
          <w:lang w:eastAsia="en-US"/>
        </w:rPr>
        <w:t xml:space="preserve">ex lege </w:t>
      </w:r>
      <w:r w:rsidRPr="001249A8">
        <w:rPr>
          <w:rFonts w:eastAsiaTheme="minorHAnsi" w:cs="Verdana,Bold"/>
          <w:b/>
          <w:bCs/>
          <w:i/>
          <w:lang w:eastAsia="en-US"/>
        </w:rPr>
        <w:t>– Sem honorários.</w:t>
      </w:r>
    </w:p>
    <w:p w14:paraId="4BBD324F" w14:textId="77777777" w:rsidR="00C308EF" w:rsidRPr="001249A8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,Bold"/>
          <w:b/>
          <w:bCs/>
          <w:i/>
          <w:lang w:eastAsia="en-US"/>
        </w:rPr>
      </w:pPr>
    </w:p>
    <w:p w14:paraId="343FDA2A" w14:textId="77777777" w:rsidR="00C308EF" w:rsidRPr="001249A8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"/>
          <w:i/>
          <w:lang w:eastAsia="en-US"/>
        </w:rPr>
      </w:pPr>
      <w:r w:rsidRPr="001249A8">
        <w:rPr>
          <w:rFonts w:eastAsiaTheme="minorHAnsi" w:cs="Verdana"/>
          <w:i/>
          <w:lang w:eastAsia="en-US"/>
        </w:rPr>
        <w:t>- A questão que se desenvolve é em decorrência da Lei Municipal n° 4.682/2015, a qual assegura aos profissionais de Educação Física, denominados “personal trainer”, o acesso às academias de ginástica de Aracaju para o acompanhamento de seus clientes, isentando-os do pagamento de taxas referentes à utilização das academias para os seus serviços e prevendo penalidades em caso de desobediência.</w:t>
      </w:r>
    </w:p>
    <w:p w14:paraId="10A15274" w14:textId="77777777" w:rsidR="00C308EF" w:rsidRPr="001249A8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"/>
          <w:i/>
          <w:lang w:eastAsia="en-US"/>
        </w:rPr>
      </w:pPr>
    </w:p>
    <w:p w14:paraId="17E4F3C6" w14:textId="77777777" w:rsidR="00C308EF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"/>
          <w:i/>
          <w:lang w:eastAsia="en-US"/>
        </w:rPr>
      </w:pPr>
      <w:r w:rsidRPr="001249A8">
        <w:rPr>
          <w:rFonts w:eastAsiaTheme="minorHAnsi" w:cs="Verdana"/>
          <w:i/>
          <w:lang w:eastAsia="en-US"/>
        </w:rPr>
        <w:t xml:space="preserve">- Rejeita-se a preliminar de falta de interesse de agir por inadequação da via eleita porque embora o art. 4º da Lei Municipal n° 4.682 estabeleça que a regulamentação da referida Lei caberá ao Poder Executivo, no prazo de 30 dias, o </w:t>
      </w:r>
      <w:r w:rsidRPr="001249A8">
        <w:rPr>
          <w:rFonts w:eastAsiaTheme="minorHAnsi" w:cs="Verdana,Italic"/>
          <w:i/>
          <w:iCs/>
          <w:lang w:eastAsia="en-US"/>
        </w:rPr>
        <w:t xml:space="preserve">mandamus </w:t>
      </w:r>
      <w:r w:rsidRPr="001249A8">
        <w:rPr>
          <w:rFonts w:eastAsiaTheme="minorHAnsi" w:cs="Verdana"/>
          <w:i/>
          <w:lang w:eastAsia="en-US"/>
        </w:rPr>
        <w:t xml:space="preserve">não deságua na afirmação da impetração contra lei em tese, haja vista que os Autores ajuizaram mandado de segurança preventivo. Assim, no </w:t>
      </w:r>
      <w:r w:rsidRPr="001249A8">
        <w:rPr>
          <w:rFonts w:eastAsiaTheme="minorHAnsi" w:cs="Verdana,Italic"/>
          <w:i/>
          <w:iCs/>
          <w:lang w:eastAsia="en-US"/>
        </w:rPr>
        <w:t xml:space="preserve">mandamus </w:t>
      </w:r>
      <w:r w:rsidRPr="001249A8">
        <w:rPr>
          <w:rFonts w:eastAsiaTheme="minorHAnsi" w:cs="Verdana"/>
          <w:i/>
          <w:lang w:eastAsia="en-US"/>
        </w:rPr>
        <w:t>preventivo, resta, sem sombra de dúvida, que o ato</w:t>
      </w:r>
      <w:r w:rsidRPr="00C308EF">
        <w:rPr>
          <w:rFonts w:eastAsiaTheme="minorHAnsi" w:cs="Verdana"/>
          <w:i/>
          <w:lang w:eastAsia="en-US"/>
        </w:rPr>
        <w:t xml:space="preserve"> violador</w:t>
      </w:r>
      <w:r>
        <w:rPr>
          <w:rFonts w:eastAsiaTheme="minorHAnsi" w:cs="Verdana"/>
          <w:i/>
          <w:lang w:eastAsia="en-US"/>
        </w:rPr>
        <w:t xml:space="preserve"> </w:t>
      </w:r>
      <w:r w:rsidRPr="00C308EF">
        <w:rPr>
          <w:rFonts w:eastAsiaTheme="minorHAnsi" w:cs="Verdana"/>
          <w:i/>
          <w:lang w:eastAsia="en-US"/>
        </w:rPr>
        <w:t>de direito líquido e certo ainda não</w:t>
      </w:r>
      <w:r>
        <w:rPr>
          <w:rFonts w:eastAsiaTheme="minorHAnsi" w:cs="Verdana"/>
          <w:i/>
          <w:lang w:eastAsia="en-US"/>
        </w:rPr>
        <w:t xml:space="preserve"> </w:t>
      </w:r>
      <w:r w:rsidRPr="00C308EF">
        <w:rPr>
          <w:rFonts w:eastAsiaTheme="minorHAnsi" w:cs="Verdana"/>
          <w:i/>
          <w:lang w:eastAsia="en-US"/>
        </w:rPr>
        <w:t>aconteceu, mas está em vias de</w:t>
      </w:r>
      <w:r>
        <w:rPr>
          <w:rFonts w:eastAsiaTheme="minorHAnsi" w:cs="Verdana"/>
          <w:i/>
          <w:lang w:eastAsia="en-US"/>
        </w:rPr>
        <w:t xml:space="preserve"> </w:t>
      </w:r>
      <w:r w:rsidRPr="00C308EF">
        <w:rPr>
          <w:rFonts w:eastAsiaTheme="minorHAnsi" w:cs="Verdana"/>
          <w:i/>
          <w:lang w:eastAsia="en-US"/>
        </w:rPr>
        <w:t xml:space="preserve">acontecer. Ademais o </w:t>
      </w:r>
      <w:r w:rsidRPr="00C308EF">
        <w:rPr>
          <w:rFonts w:eastAsiaTheme="minorHAnsi" w:cs="Verdana,Italic"/>
          <w:i/>
          <w:iCs/>
          <w:lang w:eastAsia="en-US"/>
        </w:rPr>
        <w:t xml:space="preserve">writ </w:t>
      </w:r>
      <w:r w:rsidRPr="00C308EF">
        <w:rPr>
          <w:rFonts w:eastAsiaTheme="minorHAnsi" w:cs="Verdana"/>
          <w:i/>
          <w:lang w:eastAsia="en-US"/>
        </w:rPr>
        <w:t>foi dir</w:t>
      </w:r>
      <w:r>
        <w:rPr>
          <w:rFonts w:eastAsiaTheme="minorHAnsi" w:cs="Verdana"/>
          <w:i/>
          <w:lang w:eastAsia="en-US"/>
        </w:rPr>
        <w:t xml:space="preserve">igido para um grupo de empresários </w:t>
      </w:r>
      <w:r w:rsidRPr="00C308EF">
        <w:rPr>
          <w:rFonts w:eastAsiaTheme="minorHAnsi" w:cs="Verdana"/>
          <w:i/>
          <w:lang w:eastAsia="en-US"/>
        </w:rPr>
        <w:t>devidamente especificados.</w:t>
      </w:r>
    </w:p>
    <w:p w14:paraId="4568BF48" w14:textId="77777777" w:rsidR="00C308EF" w:rsidRPr="00C308EF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"/>
          <w:i/>
          <w:lang w:eastAsia="en-US"/>
        </w:rPr>
      </w:pPr>
    </w:p>
    <w:p w14:paraId="5E7F0A84" w14:textId="77777777" w:rsidR="00C308EF" w:rsidRPr="00591682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"/>
          <w:b/>
          <w:i/>
          <w:lang w:eastAsia="en-US"/>
        </w:rPr>
      </w:pPr>
      <w:r w:rsidRPr="00591682">
        <w:rPr>
          <w:rFonts w:eastAsiaTheme="minorHAnsi" w:cs="Verdana"/>
          <w:b/>
          <w:i/>
          <w:lang w:eastAsia="en-US"/>
        </w:rPr>
        <w:t>- O caso envolve direito civil (prestação de serviços e proteção e uso da propriedade) e direitos inerentes à relação de trabalho e condições para o exercício de profissões, cuja competência para legislar é da União a teor do art. 22, I, da Constituição Federal.</w:t>
      </w:r>
    </w:p>
    <w:p w14:paraId="4AC3503B" w14:textId="77777777" w:rsidR="00C308EF" w:rsidRPr="00591682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"/>
          <w:b/>
          <w:i/>
          <w:lang w:eastAsia="en-US"/>
        </w:rPr>
      </w:pPr>
    </w:p>
    <w:p w14:paraId="41E9BEF3" w14:textId="77777777" w:rsidR="00C308EF" w:rsidRPr="00591682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"/>
          <w:b/>
          <w:i/>
          <w:lang w:eastAsia="en-US"/>
        </w:rPr>
      </w:pPr>
      <w:r w:rsidRPr="00591682">
        <w:rPr>
          <w:rFonts w:eastAsiaTheme="minorHAnsi" w:cs="Verdana"/>
          <w:b/>
          <w:i/>
          <w:lang w:eastAsia="en-US"/>
        </w:rPr>
        <w:t>- O STF assentou que invade a competência da União para legislar sobre direito civil (art. 22, I da CF/88) a norma estadual/municipal que veda a cobrança de qualquer quantia ao usuário pela utilização de estabelecimento em local privado.</w:t>
      </w:r>
    </w:p>
    <w:p w14:paraId="3F4F501C" w14:textId="77777777" w:rsidR="00C308EF" w:rsidRPr="00C308EF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"/>
          <w:i/>
          <w:lang w:eastAsia="en-US"/>
        </w:rPr>
      </w:pPr>
    </w:p>
    <w:p w14:paraId="60C12839" w14:textId="77777777" w:rsidR="00C308EF" w:rsidRDefault="00C308EF" w:rsidP="00C308EF">
      <w:pPr>
        <w:autoSpaceDE w:val="0"/>
        <w:autoSpaceDN w:val="0"/>
        <w:adjustRightInd w:val="0"/>
        <w:ind w:left="1134"/>
        <w:jc w:val="both"/>
        <w:rPr>
          <w:rFonts w:eastAsiaTheme="minorHAnsi" w:cs="Verdana"/>
          <w:i/>
          <w:lang w:eastAsia="en-US"/>
        </w:rPr>
      </w:pPr>
      <w:r w:rsidRPr="00C308EF">
        <w:rPr>
          <w:rFonts w:eastAsiaTheme="minorHAnsi" w:cs="Verdana"/>
          <w:i/>
          <w:lang w:eastAsia="en-US"/>
        </w:rPr>
        <w:t xml:space="preserve">- Declaração, </w:t>
      </w:r>
      <w:r w:rsidRPr="00C308EF">
        <w:rPr>
          <w:rFonts w:eastAsiaTheme="minorHAnsi" w:cs="Verdana,Italic"/>
          <w:i/>
          <w:iCs/>
          <w:lang w:eastAsia="en-US"/>
        </w:rPr>
        <w:t>incidenter tantum</w:t>
      </w:r>
      <w:r>
        <w:rPr>
          <w:rFonts w:eastAsiaTheme="minorHAnsi" w:cs="Verdana"/>
          <w:i/>
          <w:lang w:eastAsia="en-US"/>
        </w:rPr>
        <w:t xml:space="preserve">, da inconstitucionalidade da Lei </w:t>
      </w:r>
      <w:r w:rsidRPr="00C308EF">
        <w:rPr>
          <w:rFonts w:eastAsiaTheme="minorHAnsi" w:cs="Verdana"/>
          <w:i/>
          <w:lang w:eastAsia="en-US"/>
        </w:rPr>
        <w:t>Municipal de Aracaju nº 4.682/2015.</w:t>
      </w:r>
    </w:p>
    <w:p w14:paraId="6D30FBAE" w14:textId="77777777" w:rsidR="00C308EF" w:rsidRDefault="00C308EF" w:rsidP="00C308EF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sz w:val="26"/>
          <w:szCs w:val="26"/>
        </w:rPr>
      </w:pPr>
    </w:p>
    <w:p w14:paraId="0B342E69" w14:textId="77777777" w:rsidR="00591682" w:rsidRDefault="00591682" w:rsidP="00C308EF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sz w:val="26"/>
          <w:szCs w:val="26"/>
        </w:rPr>
      </w:pPr>
    </w:p>
    <w:p w14:paraId="6BE530B5" w14:textId="77777777" w:rsidR="00D02B02" w:rsidRPr="001249A8" w:rsidRDefault="00D02B02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O Tribunal de Justiça do Estado de Goiás seguiu o mesmo entendimento, declarando a inconstitucionalidade de lei municipal de Anápolis com idêntica proibição (doc. junto)</w:t>
      </w:r>
      <w:r w:rsidRPr="001249A8">
        <w:rPr>
          <w:rStyle w:val="Refdenotaderodap"/>
        </w:rPr>
        <w:footnoteReference w:id="4"/>
      </w:r>
      <w:r w:rsidRPr="001249A8">
        <w:t>:</w:t>
      </w:r>
    </w:p>
    <w:p w14:paraId="528A834B" w14:textId="77777777" w:rsidR="00D02B02" w:rsidRPr="001249A8" w:rsidRDefault="00D02B02" w:rsidP="00D02B02">
      <w:pPr>
        <w:pStyle w:val="Cabealho"/>
        <w:tabs>
          <w:tab w:val="left" w:pos="426"/>
          <w:tab w:val="left" w:pos="2552"/>
        </w:tabs>
        <w:suppressAutoHyphens/>
        <w:jc w:val="both"/>
      </w:pPr>
    </w:p>
    <w:p w14:paraId="26DBB1AF" w14:textId="77777777" w:rsidR="00D02B02" w:rsidRPr="001249A8" w:rsidRDefault="00D02B02" w:rsidP="00D02B02">
      <w:pPr>
        <w:pStyle w:val="NormalWeb"/>
        <w:ind w:left="1134"/>
        <w:jc w:val="both"/>
        <w:rPr>
          <w:rFonts w:ascii="Book Antiqua" w:hAnsi="Book Antiqua"/>
          <w:i/>
        </w:rPr>
      </w:pPr>
      <w:r w:rsidRPr="001249A8">
        <w:rPr>
          <w:rFonts w:ascii="Book Antiqua" w:hAnsi="Book Antiqua"/>
          <w:i/>
        </w:rPr>
        <w:t xml:space="preserve">AÇÃO DIRETA DE INCONSTITUCIONALIDADE. LEI MUNICIPAL. COBRANÇA DE TAXA. PERSONAL TRAINER. ACADEMIA DE </w:t>
      </w:r>
      <w:r w:rsidRPr="001249A8">
        <w:rPr>
          <w:rFonts w:ascii="Book Antiqua" w:hAnsi="Book Antiqua"/>
          <w:i/>
        </w:rPr>
        <w:lastRenderedPageBreak/>
        <w:t xml:space="preserve">GINÁSTICA. COMPETÊNCIA PRIVATIVA DA UNIÃO DE LEGISLAR SOBRE TRABALHO E EXERCÍCIO PROFISSIONAL. </w:t>
      </w:r>
      <w:r w:rsidRPr="001249A8">
        <w:rPr>
          <w:rFonts w:ascii="Book Antiqua" w:hAnsi="Book Antiqua"/>
          <w:b/>
          <w:i/>
        </w:rPr>
        <w:t>Compete privativamente à União legislar sobre trabalho (art. 22, I, da CF) e exercício profissional (art. 22, XVI, da CF), razão pela qual é inconstitucional a lei municipal que trata da cobrança de taxas pela utilização do serviço de personal trainer em academias de ginástica (precedente do STF)</w:t>
      </w:r>
      <w:r w:rsidRPr="001249A8">
        <w:rPr>
          <w:rFonts w:ascii="Book Antiqua" w:hAnsi="Book Antiqua"/>
          <w:i/>
        </w:rPr>
        <w:t>. AÇÃO JULGADA PROCEDENTE.</w:t>
      </w:r>
    </w:p>
    <w:p w14:paraId="553C4D75" w14:textId="77777777" w:rsidR="00F0541F" w:rsidRPr="001249A8" w:rsidRDefault="00F0541F" w:rsidP="00F0541F">
      <w:pPr>
        <w:pStyle w:val="Cabealho"/>
        <w:tabs>
          <w:tab w:val="left" w:pos="426"/>
          <w:tab w:val="left" w:pos="2552"/>
        </w:tabs>
        <w:suppressAutoHyphens/>
        <w:jc w:val="both"/>
      </w:pPr>
    </w:p>
    <w:p w14:paraId="057454E7" w14:textId="77777777" w:rsidR="00E46E30" w:rsidRPr="001249A8" w:rsidRDefault="00176691" w:rsidP="00E46E30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color w:val="000000"/>
          <w:shd w:val="clear" w:color="auto" w:fill="FFFFFF"/>
        </w:rPr>
      </w:pPr>
      <w:r w:rsidRPr="001249A8">
        <w:t>Como se vê das decisões</w:t>
      </w:r>
      <w:r w:rsidR="00D02B02" w:rsidRPr="001249A8">
        <w:t xml:space="preserve"> acima trazidas, é absolutamente pacífico o entendimento jurisprudencial de que a pretendida vedação à cobrança de taxas para acesso de profissionais de educação física às academias de ginástica, para </w:t>
      </w:r>
      <w:r w:rsidR="00E46E30" w:rsidRPr="001249A8">
        <w:t>acompanharem</w:t>
      </w:r>
      <w:r w:rsidR="00D02B02" w:rsidRPr="001249A8">
        <w:t xml:space="preserve"> seus clientes, é matéria de competência privativa da União Federal. </w:t>
      </w:r>
      <w:r w:rsidRPr="001249A8">
        <w:rPr>
          <w:b/>
        </w:rPr>
        <w:t>Por consequência, qualquer interpretação da lei ora comentada</w:t>
      </w:r>
      <w:r w:rsidR="00E46E30" w:rsidRPr="001249A8">
        <w:rPr>
          <w:b/>
        </w:rPr>
        <w:t xml:space="preserve"> que conduza a essa mesma proibição</w:t>
      </w:r>
      <w:r w:rsidRPr="001249A8">
        <w:rPr>
          <w:b/>
        </w:rPr>
        <w:t xml:space="preserve">, ainda que sob a justificativa de proteção do consumidor, </w:t>
      </w:r>
      <w:r w:rsidR="00A37186" w:rsidRPr="001249A8">
        <w:rPr>
          <w:b/>
        </w:rPr>
        <w:t>viola o art. 22, I e XVI, da Constituição Federal</w:t>
      </w:r>
      <w:r w:rsidR="00F0541F" w:rsidRPr="001249A8">
        <w:t>.</w:t>
      </w:r>
    </w:p>
    <w:p w14:paraId="5AE9DBC3" w14:textId="77777777" w:rsidR="002B65AC" w:rsidRDefault="002B65AC" w:rsidP="002B65AC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sz w:val="26"/>
          <w:szCs w:val="26"/>
        </w:rPr>
      </w:pPr>
    </w:p>
    <w:p w14:paraId="58A0AA5F" w14:textId="77777777" w:rsidR="002B65AC" w:rsidRDefault="002B65AC" w:rsidP="002B65AC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sz w:val="26"/>
          <w:szCs w:val="26"/>
        </w:rPr>
      </w:pPr>
    </w:p>
    <w:p w14:paraId="26B4D2E2" w14:textId="77777777" w:rsidR="002B65AC" w:rsidRPr="001249A8" w:rsidRDefault="002B65AC" w:rsidP="002B65AC">
      <w:pPr>
        <w:pStyle w:val="PargrafodaLista"/>
        <w:numPr>
          <w:ilvl w:val="0"/>
          <w:numId w:val="6"/>
        </w:numPr>
        <w:jc w:val="both"/>
        <w:rPr>
          <w:rFonts w:eastAsia="Calibri" w:cs="Arial"/>
          <w:b/>
          <w:u w:val="single"/>
        </w:rPr>
      </w:pPr>
      <w:r w:rsidRPr="001249A8">
        <w:rPr>
          <w:rFonts w:eastAsia="Calibri" w:cs="Arial"/>
          <w:b/>
          <w:u w:val="single"/>
        </w:rPr>
        <w:t xml:space="preserve">Inconstitucionalidade </w:t>
      </w:r>
      <w:r w:rsidRPr="001249A8">
        <w:rPr>
          <w:b/>
          <w:u w:val="single"/>
        </w:rPr>
        <w:t>da proibição de cobrança de custo extra do consumidor, pela academia, por violação da competência legislativa da União Federal</w:t>
      </w:r>
    </w:p>
    <w:p w14:paraId="020AEFD0" w14:textId="77777777" w:rsidR="002B65AC" w:rsidRPr="001249A8" w:rsidRDefault="002B65AC" w:rsidP="002B65AC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color w:val="000000"/>
          <w:shd w:val="clear" w:color="auto" w:fill="FFFFFF"/>
        </w:rPr>
      </w:pPr>
    </w:p>
    <w:p w14:paraId="789EAB84" w14:textId="77777777" w:rsidR="002B65AC" w:rsidRPr="001249A8" w:rsidRDefault="002B65AC" w:rsidP="002B65AC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color w:val="000000"/>
          <w:shd w:val="clear" w:color="auto" w:fill="FFFFFF"/>
        </w:rPr>
      </w:pPr>
    </w:p>
    <w:p w14:paraId="7A26E68E" w14:textId="77777777" w:rsidR="00822C8A" w:rsidRPr="001249A8" w:rsidRDefault="002B65AC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color w:val="000000"/>
          <w:shd w:val="clear" w:color="auto" w:fill="FFFFFF"/>
        </w:rPr>
      </w:pPr>
      <w:r w:rsidRPr="001249A8">
        <w:rPr>
          <w:color w:val="000000"/>
          <w:shd w:val="clear" w:color="auto" w:fill="FFFFFF"/>
        </w:rPr>
        <w:t>Cumpre, agora, afastar qualquer pretensão de interpretar a proibição de cobrança dos profissionais como forma de conferir efetividade à vedação de cobrança de “custos extras”</w:t>
      </w:r>
      <w:r w:rsidR="00785465" w:rsidRPr="001249A8">
        <w:rPr>
          <w:color w:val="000000"/>
          <w:shd w:val="clear" w:color="auto" w:fill="FFFFFF"/>
        </w:rPr>
        <w:t xml:space="preserve"> do consumidor, pela academia, sob o argumento de que o valor acabaria por ser repassado a este último. </w:t>
      </w:r>
      <w:r w:rsidR="00822C8A" w:rsidRPr="001249A8">
        <w:rPr>
          <w:color w:val="000000"/>
          <w:shd w:val="clear" w:color="auto" w:fill="FFFFFF"/>
        </w:rPr>
        <w:t>A proteção do consumidor, como já demonstrado à saciedade, não permite ao Distrito Federal regrar relação entre fornecedores.</w:t>
      </w:r>
    </w:p>
    <w:p w14:paraId="4167D33E" w14:textId="77777777" w:rsidR="00822C8A" w:rsidRPr="001249A8" w:rsidRDefault="00822C8A" w:rsidP="00822C8A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color w:val="000000"/>
          <w:shd w:val="clear" w:color="auto" w:fill="FFFFFF"/>
        </w:rPr>
      </w:pPr>
    </w:p>
    <w:p w14:paraId="471FBC87" w14:textId="77777777" w:rsidR="002B65AC" w:rsidRPr="001249A8" w:rsidRDefault="00822C8A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color w:val="000000"/>
          <w:shd w:val="clear" w:color="auto" w:fill="FFFFFF"/>
        </w:rPr>
      </w:pPr>
      <w:r w:rsidRPr="001249A8">
        <w:rPr>
          <w:color w:val="000000"/>
          <w:shd w:val="clear" w:color="auto" w:fill="FFFFFF"/>
        </w:rPr>
        <w:t>Sem prejuízo disso, todavia, e a</w:t>
      </w:r>
      <w:r w:rsidR="00785465" w:rsidRPr="001249A8">
        <w:rPr>
          <w:color w:val="000000"/>
          <w:shd w:val="clear" w:color="auto" w:fill="FFFFFF"/>
        </w:rPr>
        <w:t xml:space="preserve">lém de escorar-se em presunção indevida, eis que o profissional sempre teria plena liberdade para efetuar ou não dito repasse, </w:t>
      </w:r>
      <w:r w:rsidR="00785465" w:rsidRPr="001249A8">
        <w:rPr>
          <w:b/>
          <w:color w:val="000000"/>
          <w:shd w:val="clear" w:color="auto" w:fill="FFFFFF"/>
        </w:rPr>
        <w:t>a própria proibição de cobrança ao consumidor</w:t>
      </w:r>
      <w:r w:rsidR="00537E19">
        <w:rPr>
          <w:b/>
          <w:color w:val="000000"/>
          <w:shd w:val="clear" w:color="auto" w:fill="FFFFFF"/>
        </w:rPr>
        <w:t xml:space="preserve"> é</w:t>
      </w:r>
      <w:r w:rsidR="00785465" w:rsidRPr="001249A8">
        <w:rPr>
          <w:b/>
          <w:color w:val="000000"/>
          <w:shd w:val="clear" w:color="auto" w:fill="FFFFFF"/>
        </w:rPr>
        <w:t xml:space="preserve"> por si só flagrantemente inconstitucional</w:t>
      </w:r>
      <w:r w:rsidR="00785465" w:rsidRPr="001249A8">
        <w:rPr>
          <w:color w:val="000000"/>
          <w:shd w:val="clear" w:color="auto" w:fill="FFFFFF"/>
        </w:rPr>
        <w:t>.</w:t>
      </w:r>
    </w:p>
    <w:p w14:paraId="27905A11" w14:textId="77777777" w:rsidR="00785465" w:rsidRPr="001249A8" w:rsidRDefault="00785465" w:rsidP="00785465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color w:val="000000"/>
          <w:shd w:val="clear" w:color="auto" w:fill="FFFFFF"/>
        </w:rPr>
      </w:pPr>
    </w:p>
    <w:p w14:paraId="67DBFB8A" w14:textId="77777777" w:rsidR="00785465" w:rsidRPr="001249A8" w:rsidRDefault="00366682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color w:val="000000"/>
          <w:shd w:val="clear" w:color="auto" w:fill="FFFFFF"/>
        </w:rPr>
      </w:pPr>
      <w:r w:rsidRPr="001249A8">
        <w:rPr>
          <w:color w:val="000000"/>
          <w:shd w:val="clear" w:color="auto" w:fill="FFFFFF"/>
        </w:rPr>
        <w:t xml:space="preserve">É pacífica a jurisprudência do E. STF quanto à competência privativa da União Federal para legislar sobre contratos, </w:t>
      </w:r>
      <w:r w:rsidRPr="001249A8">
        <w:rPr>
          <w:b/>
          <w:color w:val="000000"/>
          <w:shd w:val="clear" w:color="auto" w:fill="FFFFFF"/>
        </w:rPr>
        <w:t>os quais são entendidos como matéria de direito civil (art. 22, I, da Constituição Federal) mesmo quando relativos a relação de consumo</w:t>
      </w:r>
      <w:r w:rsidRPr="001249A8">
        <w:rPr>
          <w:color w:val="000000"/>
          <w:shd w:val="clear" w:color="auto" w:fill="FFFFFF"/>
        </w:rPr>
        <w:t xml:space="preserve">, competência essa que prevalece sobre </w:t>
      </w:r>
      <w:r w:rsidR="00537E19">
        <w:rPr>
          <w:color w:val="000000"/>
          <w:shd w:val="clear" w:color="auto" w:fill="FFFFFF"/>
        </w:rPr>
        <w:t>a concorrente dos Estados e do D</w:t>
      </w:r>
      <w:r w:rsidRPr="001249A8">
        <w:rPr>
          <w:color w:val="000000"/>
          <w:shd w:val="clear" w:color="auto" w:fill="FFFFFF"/>
        </w:rPr>
        <w:t>istrito Federal para legislar sobre consumo (art. 24, V). Tal entendimento foi mantido até mesmo durante a situação emergencial da pandemia de COVID-19, como se vê da ementa no julgamento da ADI 6423</w:t>
      </w:r>
      <w:r w:rsidR="00822C8A" w:rsidRPr="001249A8">
        <w:rPr>
          <w:rStyle w:val="Refdenotaderodap"/>
          <w:color w:val="000000"/>
          <w:shd w:val="clear" w:color="auto" w:fill="FFFFFF"/>
        </w:rPr>
        <w:footnoteReference w:id="5"/>
      </w:r>
      <w:r w:rsidRPr="001249A8">
        <w:rPr>
          <w:color w:val="000000"/>
          <w:shd w:val="clear" w:color="auto" w:fill="FFFFFF"/>
        </w:rPr>
        <w:t>:</w:t>
      </w:r>
    </w:p>
    <w:p w14:paraId="7D4DD444" w14:textId="77777777" w:rsidR="00F0541F" w:rsidRPr="001249A8" w:rsidRDefault="00F0541F" w:rsidP="00F0541F">
      <w:pPr>
        <w:pStyle w:val="PargrafodaLista"/>
      </w:pPr>
    </w:p>
    <w:p w14:paraId="2DD52D90" w14:textId="77777777" w:rsidR="00366682" w:rsidRPr="001249A8" w:rsidRDefault="00366682" w:rsidP="00366682">
      <w:pPr>
        <w:pStyle w:val="NormalWeb"/>
        <w:ind w:left="1134"/>
        <w:jc w:val="both"/>
        <w:rPr>
          <w:rFonts w:ascii="Book Antiqua" w:hAnsi="Book Antiqua"/>
          <w:i/>
        </w:rPr>
      </w:pPr>
      <w:r w:rsidRPr="001249A8">
        <w:rPr>
          <w:rFonts w:ascii="Book Antiqua" w:hAnsi="Book Antiqua"/>
          <w:i/>
        </w:rPr>
        <w:lastRenderedPageBreak/>
        <w:t xml:space="preserve">AÇÃO DIRETA DE INCONSTITUCIONALIDADE. CONSTITUCIONAL. FEDERALISMO E RESPEITO ÀS REGRAS DE DISTRIBUIÇÃO DE COMPETÊNCIA. LEI 17.208/2020 DO ESTADO DO CEARÁ. REDUÇÃO OBRIGATÓRIA E PROPORCIONAL DAS MENSALIDADES NA REDE PRIVADA DE ENSINO DURANTE O PLANO DE CONTINGÊNCIA DA COVID-19. COMPETÊNCIA DA UNIÃO EM MATÉRIA DE DIREITO CIVIL (ART. 22, I, DA CF). INCONSTITUCIONALIDADE FORMAL RECONHECIDA. PROCEDÊNCIA. 1. As regras de distribuição de competências legislativas são alicerces do federalismo e consagram a fórmula de divisão de centros de poder em um Estado de Direito. Princípio da predominância do interesse. 2. A Constituição Federal de 1988, presumindo de forma absoluta para algumas matérias a presença do princípio da predominância do interesse, estabeleceu, a priori, diversas competências para cada um dos entes federativos União, Estados-Membros, Distrito Federal e Municípios e, a partir dessas opções, pode ora acentuar maior centralização de poder, principalmente na própria União ( CF, art. 22), ora permitir uma maior descentralização nos Estados-Membros e nos Municípios ( CF, arts. 24 e 30, inciso I). 3. </w:t>
      </w:r>
      <w:r w:rsidRPr="001249A8">
        <w:rPr>
          <w:rFonts w:ascii="Book Antiqua" w:hAnsi="Book Antiqua"/>
          <w:b/>
          <w:i/>
        </w:rPr>
        <w:t>A Lei 17.208/2020 do Estado do Ceará, ao determinar a redução obrigatória e proporcional das mensalidades na rede privada de ensino durante o Plano de Contingência da COVID-19, viola a competência da União para legislar sobre Direito Civil (art. 22, I, CF), por se tratar de norma abstrata sobre direito civil, afastando-se da competência concorrente dos estados para editar normas sobre responsabilidade por danos aos consumidores (art. 24, V, CF)</w:t>
      </w:r>
      <w:r w:rsidRPr="001249A8">
        <w:rPr>
          <w:rFonts w:ascii="Book Antiqua" w:hAnsi="Book Antiqua"/>
          <w:i/>
        </w:rPr>
        <w:t>. 4. Efeitos jurídicos da Pandemia COVID-19 sobre os negócios jurídicos privados, inclusive decorrentes de relações de consumo, foram tratados pela Lei 14.010/2020, que estabeleceu o Regime Jurídico Emergencial e Transitório das relações jurídicas de Direito Privado (RJET) no período da pandemia do Coronavírus (Covid-19), reduzindo o espaço de competência complementar dos Estados, ausente previsão geral de modificação dos contratos de prestação de serviços educacionais. 4. Ação direta julgada procedente.</w:t>
      </w:r>
    </w:p>
    <w:p w14:paraId="6641C6B3" w14:textId="77777777" w:rsidR="00366682" w:rsidRDefault="00366682" w:rsidP="00F0541F">
      <w:pPr>
        <w:pStyle w:val="PargrafodaLista"/>
        <w:rPr>
          <w:sz w:val="26"/>
          <w:szCs w:val="26"/>
        </w:rPr>
      </w:pPr>
    </w:p>
    <w:p w14:paraId="0470B59F" w14:textId="77777777" w:rsidR="00F0541F" w:rsidRPr="001249A8" w:rsidRDefault="00822C8A" w:rsidP="00822C8A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rPr>
          <w:b/>
        </w:rPr>
        <w:t xml:space="preserve">Interpretação como a defendida pela pretensão inicial, portanto, implicaria violação do art. 22, I, da CF também por esse viés. </w:t>
      </w:r>
      <w:r w:rsidR="00F0541F" w:rsidRPr="001249A8">
        <w:t xml:space="preserve">Nada obstante, </w:t>
      </w:r>
      <w:r w:rsidRPr="001249A8">
        <w:t xml:space="preserve">e como se passa a demonstrar, </w:t>
      </w:r>
      <w:r w:rsidR="00E46E30" w:rsidRPr="001249A8">
        <w:t>a inconstitucionalidade</w:t>
      </w:r>
      <w:r w:rsidR="00176691" w:rsidRPr="001249A8">
        <w:t xml:space="preserve"> </w:t>
      </w:r>
      <w:r w:rsidR="00F0541F" w:rsidRPr="001249A8">
        <w:t>vai muito além da invasão dessa competência privativa.</w:t>
      </w:r>
    </w:p>
    <w:p w14:paraId="72F43A26" w14:textId="77777777" w:rsidR="00F0541F" w:rsidRPr="001249A8" w:rsidRDefault="00F0541F" w:rsidP="00176691"/>
    <w:p w14:paraId="1E67B626" w14:textId="77777777" w:rsidR="00F0541F" w:rsidRPr="001249A8" w:rsidRDefault="00F0541F" w:rsidP="00F0541F">
      <w:pPr>
        <w:pStyle w:val="PargrafodaLista"/>
      </w:pPr>
    </w:p>
    <w:p w14:paraId="0BC38A7A" w14:textId="77777777" w:rsidR="00F0541F" w:rsidRPr="001249A8" w:rsidRDefault="00F0541F" w:rsidP="00176691">
      <w:pPr>
        <w:pStyle w:val="PargrafodaLista"/>
        <w:numPr>
          <w:ilvl w:val="0"/>
          <w:numId w:val="6"/>
        </w:numPr>
        <w:jc w:val="both"/>
        <w:rPr>
          <w:rFonts w:eastAsia="Calibri" w:cs="Arial"/>
          <w:b/>
          <w:u w:val="single"/>
        </w:rPr>
      </w:pPr>
      <w:r w:rsidRPr="001249A8">
        <w:rPr>
          <w:rFonts w:eastAsia="Calibri" w:cs="Arial"/>
          <w:b/>
          <w:u w:val="single"/>
        </w:rPr>
        <w:t>Inconstitucionalidade por violação do princípio constitucional da propriedade privada</w:t>
      </w:r>
    </w:p>
    <w:p w14:paraId="67A42669" w14:textId="77777777" w:rsidR="00F0541F" w:rsidRPr="001249A8" w:rsidRDefault="00F0541F" w:rsidP="00F0541F">
      <w:pPr>
        <w:pStyle w:val="PargrafodaLista"/>
      </w:pPr>
    </w:p>
    <w:p w14:paraId="1F627DE9" w14:textId="77777777" w:rsidR="00F0541F" w:rsidRPr="001249A8" w:rsidRDefault="00176691" w:rsidP="001D78C1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O estabelecimento</w:t>
      </w:r>
      <w:r w:rsidR="00F0541F" w:rsidRPr="001249A8">
        <w:t xml:space="preserve"> </w:t>
      </w:r>
      <w:r w:rsidRPr="001249A8">
        <w:t>da academia constitui propriedade privada, criada, custeada e operada por sociedade empresária. Além de proprietária do estabelecimento, considerado</w:t>
      </w:r>
      <w:r w:rsidR="00F0541F" w:rsidRPr="001249A8">
        <w:t xml:space="preserve"> como o conjunto dos ele</w:t>
      </w:r>
      <w:r w:rsidRPr="001249A8">
        <w:t>mentos e bens de produção, a</w:t>
      </w:r>
      <w:r w:rsidR="00F0541F" w:rsidRPr="001249A8">
        <w:t xml:space="preserve"> </w:t>
      </w:r>
      <w:r w:rsidRPr="001249A8">
        <w:t xml:space="preserve">academia se acha na posse do imóvel em que opera sua </w:t>
      </w:r>
      <w:r w:rsidRPr="001249A8">
        <w:lastRenderedPageBreak/>
        <w:t>atividade econômica</w:t>
      </w:r>
      <w:r w:rsidR="00F0541F" w:rsidRPr="001249A8">
        <w:t xml:space="preserve"> de prestação de serviços. </w:t>
      </w:r>
      <w:r w:rsidRPr="001249A8">
        <w:t>É dela</w:t>
      </w:r>
      <w:r w:rsidR="00F0541F" w:rsidRPr="001249A8">
        <w:t xml:space="preserve">, portanto, o direito de determinar quem pode ou não pode </w:t>
      </w:r>
      <w:r w:rsidRPr="001249A8">
        <w:t>n</w:t>
      </w:r>
      <w:r w:rsidR="00F0541F" w:rsidRPr="001249A8">
        <w:t>ele adentrar e fazer uso de suas instalações, e sob quais condições.</w:t>
      </w:r>
    </w:p>
    <w:p w14:paraId="20851F79" w14:textId="77777777" w:rsidR="00F0541F" w:rsidRPr="001249A8" w:rsidRDefault="00F0541F" w:rsidP="00F0541F">
      <w:pPr>
        <w:pStyle w:val="Cabealho"/>
        <w:tabs>
          <w:tab w:val="left" w:pos="426"/>
        </w:tabs>
        <w:suppressAutoHyphens/>
        <w:jc w:val="both"/>
      </w:pPr>
    </w:p>
    <w:p w14:paraId="2E1537E7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Ao assegurar o direito de livre ingresso, </w:t>
      </w:r>
      <w:r w:rsidR="00176691" w:rsidRPr="001249A8">
        <w:t xml:space="preserve">com ou sem proibição de cobrança, a lei distrital comentada </w:t>
      </w:r>
      <w:r w:rsidRPr="001249A8">
        <w:t>viola frontalmente esse direito, que a Constituição Federal assegura em dois artigos (destaques nossos):</w:t>
      </w:r>
    </w:p>
    <w:p w14:paraId="7F0E75AD" w14:textId="77777777" w:rsidR="00F0541F" w:rsidRPr="001249A8" w:rsidRDefault="00F0541F" w:rsidP="00F0541F">
      <w:pPr>
        <w:pStyle w:val="PargrafodaLista"/>
      </w:pPr>
    </w:p>
    <w:p w14:paraId="68C5691A" w14:textId="77777777" w:rsidR="00F0541F" w:rsidRPr="001249A8" w:rsidRDefault="00F0541F" w:rsidP="00176691">
      <w:pPr>
        <w:ind w:left="1134"/>
        <w:jc w:val="both"/>
        <w:rPr>
          <w:rFonts w:cs="Arial"/>
          <w:i/>
          <w:color w:val="000000"/>
          <w:shd w:val="clear" w:color="auto" w:fill="FFFFFF"/>
        </w:rPr>
      </w:pPr>
      <w:r w:rsidRPr="001249A8">
        <w:rPr>
          <w:rFonts w:cs="Arial"/>
          <w:i/>
          <w:color w:val="000000"/>
          <w:shd w:val="clear" w:color="auto" w:fill="FFFFFF"/>
        </w:rPr>
        <w:t xml:space="preserve">Art. 5º Todos são iguais perante a lei, sem distinção de qualquer natureza, garantindo-se aos brasileiros e aos estrangeiros residentes no País a inviolabilidade do direito à vida, à liberdade, à igualdade, à segurança </w:t>
      </w:r>
      <w:r w:rsidRPr="001249A8">
        <w:rPr>
          <w:rFonts w:cs="Arial"/>
          <w:b/>
          <w:i/>
          <w:color w:val="000000"/>
          <w:shd w:val="clear" w:color="auto" w:fill="FFFFFF"/>
        </w:rPr>
        <w:t>e à propriedade</w:t>
      </w:r>
      <w:r w:rsidRPr="001249A8">
        <w:rPr>
          <w:rFonts w:cs="Arial"/>
          <w:i/>
          <w:color w:val="000000"/>
          <w:shd w:val="clear" w:color="auto" w:fill="FFFFFF"/>
        </w:rPr>
        <w:t>, nos termos seguintes (.....)</w:t>
      </w:r>
    </w:p>
    <w:p w14:paraId="785E0300" w14:textId="77777777" w:rsidR="00F0541F" w:rsidRPr="001249A8" w:rsidRDefault="00F0541F" w:rsidP="00176691">
      <w:pPr>
        <w:ind w:left="1134"/>
        <w:jc w:val="both"/>
        <w:rPr>
          <w:rFonts w:cs="Arial"/>
          <w:i/>
          <w:color w:val="000000"/>
          <w:shd w:val="clear" w:color="auto" w:fill="FFFFFF"/>
        </w:rPr>
      </w:pPr>
    </w:p>
    <w:p w14:paraId="49A6212B" w14:textId="77777777" w:rsidR="00F0541F" w:rsidRPr="001249A8" w:rsidRDefault="00F0541F" w:rsidP="00176691">
      <w:pPr>
        <w:pStyle w:val="NormalWeb"/>
        <w:shd w:val="clear" w:color="auto" w:fill="FFFFFF"/>
        <w:ind w:left="1134"/>
        <w:jc w:val="both"/>
        <w:rPr>
          <w:rFonts w:ascii="Book Antiqua" w:hAnsi="Book Antiqua" w:cs="Arial"/>
          <w:i/>
          <w:color w:val="000000"/>
        </w:rPr>
      </w:pPr>
      <w:r w:rsidRPr="001249A8">
        <w:rPr>
          <w:rFonts w:ascii="Book Antiqua" w:hAnsi="Book Antiqua" w:cs="Arial"/>
          <w:i/>
          <w:color w:val="000000"/>
        </w:rPr>
        <w:t>Art. 170. A ordem econômica, fundada na valorização do trabalho humano e na livre iniciativa, tem por fim assegurar a todos existência digna, conforme os ditames da justiça social, observados os seguintes princípios:</w:t>
      </w:r>
    </w:p>
    <w:p w14:paraId="0553465E" w14:textId="77777777" w:rsidR="00F0541F" w:rsidRPr="001249A8" w:rsidRDefault="00F0541F" w:rsidP="00176691">
      <w:pPr>
        <w:pStyle w:val="NormalWeb"/>
        <w:shd w:val="clear" w:color="auto" w:fill="FFFFFF"/>
        <w:ind w:left="1134"/>
        <w:jc w:val="both"/>
        <w:rPr>
          <w:rFonts w:ascii="Book Antiqua" w:hAnsi="Book Antiqua" w:cs="Arial"/>
          <w:i/>
          <w:color w:val="000000"/>
        </w:rPr>
      </w:pPr>
      <w:r w:rsidRPr="001249A8">
        <w:rPr>
          <w:rFonts w:ascii="Book Antiqua" w:hAnsi="Book Antiqua" w:cs="Arial"/>
          <w:i/>
          <w:color w:val="000000"/>
        </w:rPr>
        <w:t>(..................................................................)</w:t>
      </w:r>
    </w:p>
    <w:p w14:paraId="66BF2C28" w14:textId="77777777" w:rsidR="00176691" w:rsidRDefault="00F0541F" w:rsidP="00537E19">
      <w:pPr>
        <w:pStyle w:val="NormalWeb"/>
        <w:shd w:val="clear" w:color="auto" w:fill="FFFFFF"/>
        <w:ind w:left="1276" w:hanging="142"/>
        <w:jc w:val="both"/>
        <w:rPr>
          <w:rFonts w:ascii="Book Antiqua" w:hAnsi="Book Antiqua" w:cs="Arial"/>
          <w:color w:val="000000"/>
        </w:rPr>
      </w:pPr>
      <w:bookmarkStart w:id="2" w:name="art170i"/>
      <w:bookmarkEnd w:id="2"/>
      <w:r w:rsidRPr="001249A8">
        <w:rPr>
          <w:rFonts w:ascii="Book Antiqua" w:hAnsi="Book Antiqua" w:cs="Arial"/>
          <w:b/>
          <w:i/>
          <w:color w:val="000000"/>
        </w:rPr>
        <w:t>II - propriedade privada</w:t>
      </w:r>
      <w:r w:rsidR="00537E19">
        <w:rPr>
          <w:rFonts w:ascii="Book Antiqua" w:hAnsi="Book Antiqua" w:cs="Arial"/>
          <w:color w:val="000000"/>
        </w:rPr>
        <w:t>;</w:t>
      </w:r>
    </w:p>
    <w:p w14:paraId="4F0DFA95" w14:textId="77777777" w:rsidR="00537E19" w:rsidRPr="001249A8" w:rsidRDefault="00537E19" w:rsidP="00537E19">
      <w:pPr>
        <w:pStyle w:val="NormalWeb"/>
        <w:shd w:val="clear" w:color="auto" w:fill="FFFFFF"/>
        <w:ind w:left="1276" w:hanging="142"/>
        <w:jc w:val="both"/>
        <w:rPr>
          <w:rFonts w:ascii="Book Antiqua" w:hAnsi="Book Antiqua" w:cs="Arial"/>
          <w:color w:val="000000"/>
        </w:rPr>
      </w:pPr>
    </w:p>
    <w:p w14:paraId="6653103A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Frise-se que não existe justificativa de ordem social que permita, neste caso, tal subversão do direito à propriedade. A medida beneficiaria apenas parcela muito restrita da população: justamente os consumidores de poder aquisitivo mais elevado, capazes, além de pagar a mensalidade da academia, de também custear o serviço de um “personal trainer”. </w:t>
      </w:r>
    </w:p>
    <w:p w14:paraId="1BA262B4" w14:textId="77777777" w:rsidR="00F0541F" w:rsidRPr="001249A8" w:rsidRDefault="00F0541F" w:rsidP="00F0541F">
      <w:pPr>
        <w:pStyle w:val="Cabealho"/>
        <w:tabs>
          <w:tab w:val="left" w:pos="426"/>
        </w:tabs>
        <w:suppressAutoHyphens/>
        <w:jc w:val="both"/>
      </w:pPr>
    </w:p>
    <w:p w14:paraId="3FB160DE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Na mera hipótese, portanto, de que a lei em questão tivesse sido editada por ente competente para tanto, ainda assim padeceria de gritante inconstitucionalidade por subverter completamente a propriedade privada, enquanto direito individual</w:t>
      </w:r>
      <w:r w:rsidR="00176691" w:rsidRPr="001249A8">
        <w:t xml:space="preserve"> e princípio da ordem econômica. Com ainda maior razão</w:t>
      </w:r>
      <w:r w:rsidR="00A37186" w:rsidRPr="001249A8">
        <w:t xml:space="preserve"> e por corolário</w:t>
      </w:r>
      <w:r w:rsidR="00176691" w:rsidRPr="001249A8">
        <w:t>, interpretação que a entendesse como impondo tal acesso de forma gratuita seria igualmente inconstitucional</w:t>
      </w:r>
      <w:r w:rsidR="00A37186" w:rsidRPr="001249A8">
        <w:t>.</w:t>
      </w:r>
    </w:p>
    <w:p w14:paraId="12DDF773" w14:textId="77777777" w:rsidR="00F0541F" w:rsidRPr="001249A8" w:rsidRDefault="00F0541F" w:rsidP="00F0541F">
      <w:pPr>
        <w:pStyle w:val="PargrafodaLista"/>
      </w:pPr>
    </w:p>
    <w:p w14:paraId="686A9F3D" w14:textId="77777777" w:rsidR="00D02B02" w:rsidRPr="001249A8" w:rsidRDefault="00D02B02" w:rsidP="00D02B02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O Tribunal de Justiça do Estado de São Paulo declarou inconstitucional Lei Municipal do Guarujá, com objeto semelhante, </w:t>
      </w:r>
      <w:r w:rsidRPr="001249A8">
        <w:rPr>
          <w:b/>
        </w:rPr>
        <w:t>desta feita apontando não apenas a inconstitucionalidade formal como material</w:t>
      </w:r>
      <w:r w:rsidRPr="001249A8">
        <w:t>, consoante se infere da ementa colacionada abaixo (doc. junto)</w:t>
      </w:r>
      <w:r w:rsidR="00A37186" w:rsidRPr="001249A8">
        <w:rPr>
          <w:rStyle w:val="Refdenotaderodap"/>
        </w:rPr>
        <w:footnoteReference w:id="6"/>
      </w:r>
      <w:r w:rsidRPr="001249A8">
        <w:t>:</w:t>
      </w:r>
    </w:p>
    <w:p w14:paraId="5D6BC44B" w14:textId="77777777" w:rsidR="00A37186" w:rsidRPr="001249A8" w:rsidRDefault="00A37186" w:rsidP="00A37186">
      <w:pPr>
        <w:pStyle w:val="PargrafodaLista"/>
      </w:pPr>
    </w:p>
    <w:p w14:paraId="0A5668FC" w14:textId="77777777" w:rsidR="00A37186" w:rsidRDefault="00A37186" w:rsidP="00A37186">
      <w:pPr>
        <w:pStyle w:val="PargrafodaLista"/>
        <w:ind w:left="1134"/>
        <w:jc w:val="both"/>
        <w:rPr>
          <w:sz w:val="26"/>
          <w:szCs w:val="26"/>
        </w:rPr>
      </w:pPr>
      <w:r w:rsidRPr="001249A8">
        <w:rPr>
          <w:i/>
          <w:color w:val="000000"/>
          <w:shd w:val="clear" w:color="auto" w:fill="FFFFFF"/>
        </w:rPr>
        <w:lastRenderedPageBreak/>
        <w:t xml:space="preserve">ARGUIÇÃO DE INCONSTITUCIONALIDADE – </w:t>
      </w:r>
      <w:r w:rsidRPr="001249A8">
        <w:rPr>
          <w:b/>
          <w:i/>
          <w:color w:val="000000"/>
          <w:shd w:val="clear" w:color="auto" w:fill="FFFFFF"/>
        </w:rPr>
        <w:t>Lei nº 4.258/2015 do Município de Guarujá, que assegura o livre acesso dos profissionais de educação física 'personal trainer' às academias de ginástica do Guarujá, para acompanhamento de seus clientes</w:t>
      </w:r>
      <w:r w:rsidRPr="001249A8">
        <w:rPr>
          <w:i/>
          <w:color w:val="000000"/>
          <w:shd w:val="clear" w:color="auto" w:fill="FFFFFF"/>
        </w:rPr>
        <w:t xml:space="preserve"> – Ausência de qualquer interesse específico municipal que justifique a suplementação da competência concorrente legislativa Federal e Estadual em relação ao assunto, a saber a proteção e a defesa da saúde (art. 24, XII, da Constituição Federal) – Ofensa ao princípio da razoabilidade, pois a regulamentação por ela ditada, sob o</w:t>
      </w:r>
      <w:r w:rsidRPr="00D02B02">
        <w:rPr>
          <w:i/>
          <w:color w:val="000000"/>
          <w:shd w:val="clear" w:color="auto" w:fill="FFFFFF"/>
        </w:rPr>
        <w:t xml:space="preserve"> pretexto de proteção à saúde, é desproporcional ao fim colimado, impondo </w:t>
      </w:r>
      <w:r w:rsidRPr="00D02B02">
        <w:rPr>
          <w:b/>
          <w:i/>
          <w:color w:val="000000"/>
          <w:shd w:val="clear" w:color="auto" w:fill="FFFFFF"/>
        </w:rPr>
        <w:t>ônus excessivo às academias de ginástica</w:t>
      </w:r>
      <w:r w:rsidRPr="00D02B02">
        <w:rPr>
          <w:i/>
          <w:color w:val="000000"/>
          <w:shd w:val="clear" w:color="auto" w:fill="FFFFFF"/>
        </w:rPr>
        <w:t xml:space="preserve">, as quais já devem dispor de profissional de educação física atuante em suas dependências para orientação de seus usuários (art. 6º da resolução n. 52/2.002 da CONFEF) – </w:t>
      </w:r>
      <w:r w:rsidRPr="00D02B02">
        <w:rPr>
          <w:b/>
          <w:i/>
          <w:color w:val="000000"/>
          <w:shd w:val="clear" w:color="auto" w:fill="FFFFFF"/>
        </w:rPr>
        <w:t>Norma que impõe obstáculo ao exercício pleno do direito de propriedade, restringindo os direitos garantidos pelo artigo 5º, inciso XXII da Constituição Federal - A atividade empresarial desempenhada pelas academias de ginástica é resguardada pelos princípios da livre iniciativa e concorrência de que trata o artigo 170 da Constituição Federal</w:t>
      </w:r>
      <w:r w:rsidRPr="00D02B02">
        <w:rPr>
          <w:i/>
          <w:color w:val="000000"/>
          <w:shd w:val="clear" w:color="auto" w:fill="FFFFFF"/>
        </w:rPr>
        <w:t>, aplicável aos Municípios por força do que dispõe o artigo 144 da Carta Estadual, de modo que a restrição imposta pela lei em debate acaba por interferir em seu livre exercício - Inconstitucionalidade declarada –Incidente acolhido.</w:t>
      </w:r>
    </w:p>
    <w:p w14:paraId="30064910" w14:textId="77777777" w:rsidR="00A37186" w:rsidRDefault="00A37186" w:rsidP="00A37186">
      <w:pPr>
        <w:pStyle w:val="PargrafodaLista"/>
        <w:rPr>
          <w:sz w:val="26"/>
          <w:szCs w:val="26"/>
        </w:rPr>
      </w:pPr>
    </w:p>
    <w:p w14:paraId="7C2DC985" w14:textId="77777777" w:rsidR="00A37186" w:rsidRPr="001249A8" w:rsidRDefault="004F53D0" w:rsidP="00D02B02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t>Daí que</w:t>
      </w:r>
      <w:r w:rsidRPr="001249A8">
        <w:rPr>
          <w:b/>
        </w:rPr>
        <w:t xml:space="preserve"> i</w:t>
      </w:r>
      <w:r w:rsidR="00A37186" w:rsidRPr="001249A8">
        <w:rPr>
          <w:b/>
        </w:rPr>
        <w:t xml:space="preserve">nterpretar a lei em questão como proibindo a cobrança do profissional, pela academia, </w:t>
      </w:r>
      <w:r w:rsidRPr="001249A8">
        <w:rPr>
          <w:b/>
        </w:rPr>
        <w:t xml:space="preserve">também </w:t>
      </w:r>
      <w:r w:rsidR="00A37186" w:rsidRPr="001249A8">
        <w:rPr>
          <w:b/>
        </w:rPr>
        <w:t>viola o</w:t>
      </w:r>
      <w:r w:rsidR="00DD23D7" w:rsidRPr="001249A8">
        <w:rPr>
          <w:b/>
        </w:rPr>
        <w:t>s</w:t>
      </w:r>
      <w:r w:rsidR="00A37186" w:rsidRPr="001249A8">
        <w:rPr>
          <w:b/>
        </w:rPr>
        <w:t xml:space="preserve"> art</w:t>
      </w:r>
      <w:r w:rsidR="00DD23D7" w:rsidRPr="001249A8">
        <w:rPr>
          <w:b/>
        </w:rPr>
        <w:t>s</w:t>
      </w:r>
      <w:r w:rsidR="00A37186" w:rsidRPr="001249A8">
        <w:rPr>
          <w:b/>
        </w:rPr>
        <w:t>. 5º,</w:t>
      </w:r>
      <w:r w:rsidR="00DD23D7" w:rsidRPr="001249A8">
        <w:rPr>
          <w:b/>
        </w:rPr>
        <w:t xml:space="preserve"> “caput” e</w:t>
      </w:r>
      <w:r w:rsidR="00A37186" w:rsidRPr="001249A8">
        <w:rPr>
          <w:b/>
        </w:rPr>
        <w:t xml:space="preserve"> XXII, </w:t>
      </w:r>
      <w:r w:rsidR="00DD23D7" w:rsidRPr="001249A8">
        <w:rPr>
          <w:b/>
        </w:rPr>
        <w:t xml:space="preserve">e 170, II, </w:t>
      </w:r>
      <w:r w:rsidR="00A37186" w:rsidRPr="001249A8">
        <w:rPr>
          <w:b/>
        </w:rPr>
        <w:t>da Constituição Federal.</w:t>
      </w:r>
    </w:p>
    <w:p w14:paraId="0398E3F0" w14:textId="77777777" w:rsidR="00F0541F" w:rsidRPr="001249A8" w:rsidRDefault="00F0541F" w:rsidP="003C711D"/>
    <w:p w14:paraId="1B6D21F7" w14:textId="77777777" w:rsidR="00F0541F" w:rsidRPr="001249A8" w:rsidRDefault="00F0541F" w:rsidP="00F0541F">
      <w:pPr>
        <w:pStyle w:val="PargrafodaLista"/>
      </w:pPr>
    </w:p>
    <w:p w14:paraId="44BCC7EA" w14:textId="77777777" w:rsidR="00F0541F" w:rsidRPr="001249A8" w:rsidRDefault="00F0541F" w:rsidP="00A37186">
      <w:pPr>
        <w:pStyle w:val="PargrafodaLista"/>
        <w:numPr>
          <w:ilvl w:val="0"/>
          <w:numId w:val="6"/>
        </w:numPr>
        <w:jc w:val="both"/>
        <w:rPr>
          <w:rFonts w:eastAsia="Calibri" w:cs="Arial"/>
          <w:b/>
          <w:u w:val="single"/>
        </w:rPr>
      </w:pPr>
      <w:r w:rsidRPr="001249A8">
        <w:rPr>
          <w:rFonts w:eastAsia="Calibri" w:cs="Arial"/>
          <w:b/>
          <w:u w:val="single"/>
        </w:rPr>
        <w:t>Inconstitucionalidade por violação do princípio constitucional da livre concorrência</w:t>
      </w:r>
    </w:p>
    <w:p w14:paraId="194E24EA" w14:textId="77777777" w:rsidR="00F0541F" w:rsidRPr="001249A8" w:rsidRDefault="00F0541F" w:rsidP="00F0541F">
      <w:pPr>
        <w:pStyle w:val="PargrafodaLista"/>
      </w:pPr>
    </w:p>
    <w:p w14:paraId="65EAF4BB" w14:textId="77777777" w:rsidR="00A37186" w:rsidRPr="001249A8" w:rsidRDefault="00A37186" w:rsidP="00F0541F">
      <w:pPr>
        <w:pStyle w:val="PargrafodaLista"/>
      </w:pPr>
    </w:p>
    <w:p w14:paraId="01BB8DF8" w14:textId="77777777" w:rsidR="00F0541F" w:rsidRPr="001249A8" w:rsidRDefault="001D78C1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>
        <w:t>Sob o aspecto concorrencial, i</w:t>
      </w:r>
      <w:r w:rsidR="00A37186" w:rsidRPr="001249A8">
        <w:t>nterpretação da lei distrital que assegure</w:t>
      </w:r>
      <w:r w:rsidR="00F0541F" w:rsidRPr="001249A8">
        <w:t xml:space="preserve"> aos </w:t>
      </w:r>
      <w:r w:rsidR="00A37186" w:rsidRPr="001249A8">
        <w:t>profissionais de educação física</w:t>
      </w:r>
      <w:r w:rsidR="00F0541F" w:rsidRPr="001249A8">
        <w:t xml:space="preserve"> o direito de ingressarem e fazerem uso das instalações </w:t>
      </w:r>
      <w:r w:rsidR="00A37186" w:rsidRPr="001249A8">
        <w:t>de academia</w:t>
      </w:r>
      <w:r w:rsidR="00F0541F" w:rsidRPr="001249A8">
        <w:t xml:space="preserve"> para sua atuação profissional, gratuitamente, cria um privilégio inadmissível. </w:t>
      </w:r>
    </w:p>
    <w:p w14:paraId="13420304" w14:textId="77777777" w:rsidR="00F0541F" w:rsidRPr="001249A8" w:rsidRDefault="00F0541F" w:rsidP="00F0541F">
      <w:pPr>
        <w:pStyle w:val="Cabealho"/>
        <w:tabs>
          <w:tab w:val="left" w:pos="426"/>
        </w:tabs>
        <w:suppressAutoHyphens/>
        <w:jc w:val="both"/>
      </w:pPr>
    </w:p>
    <w:p w14:paraId="667A7277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O oferecimento de serviços desse tipo também está dentro do escopo das atividades </w:t>
      </w:r>
      <w:r w:rsidR="00A37186" w:rsidRPr="001249A8">
        <w:t>da academia. Pode</w:t>
      </w:r>
      <w:r w:rsidRPr="001249A8">
        <w:t xml:space="preserve"> </w:t>
      </w:r>
      <w:r w:rsidR="00537E19">
        <w:t xml:space="preserve">ela </w:t>
      </w:r>
      <w:r w:rsidRPr="001249A8">
        <w:t>oferecê-lo ou não, mas é seu direit</w:t>
      </w:r>
      <w:r w:rsidR="00A37186" w:rsidRPr="001249A8">
        <w:t>o decidir a respeito e não pode ser forçada</w:t>
      </w:r>
      <w:r w:rsidRPr="001249A8">
        <w:t xml:space="preserve"> a admitir, </w:t>
      </w:r>
      <w:r w:rsidR="00A37186" w:rsidRPr="001249A8">
        <w:rPr>
          <w:b/>
        </w:rPr>
        <w:t>dentro de seu estabelecimento</w:t>
      </w:r>
      <w:r w:rsidRPr="001249A8">
        <w:t>, o oferecimento dos mesmos serviços por profissionais atuando por conta própria, que nada investiram para fazer uso das instalações e nada pagam para mantê-las em funcionamento.</w:t>
      </w:r>
    </w:p>
    <w:p w14:paraId="0286310D" w14:textId="77777777" w:rsidR="00F0541F" w:rsidRPr="001249A8" w:rsidRDefault="00F0541F" w:rsidP="00F0541F">
      <w:pPr>
        <w:pStyle w:val="PargrafodaLista"/>
      </w:pPr>
    </w:p>
    <w:p w14:paraId="71146FD3" w14:textId="77777777" w:rsidR="00F0541F" w:rsidRPr="001249A8" w:rsidRDefault="00A37186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rPr>
          <w:lang w:val="pt-PT"/>
        </w:rPr>
        <w:t>Semelhante interpretação da</w:t>
      </w:r>
      <w:r w:rsidR="00F0541F" w:rsidRPr="001249A8">
        <w:rPr>
          <w:lang w:val="pt-PT"/>
        </w:rPr>
        <w:t xml:space="preserve"> lei cria condições privilegiadas para o exercíc</w:t>
      </w:r>
      <w:r w:rsidR="00537E19">
        <w:rPr>
          <w:lang w:val="pt-PT"/>
        </w:rPr>
        <w:t>i</w:t>
      </w:r>
      <w:r w:rsidR="00F0541F" w:rsidRPr="001249A8">
        <w:rPr>
          <w:lang w:val="pt-PT"/>
        </w:rPr>
        <w:t>o da atividade por tais profissionais e por tal motivo viola a</w:t>
      </w:r>
      <w:r w:rsidR="00555885" w:rsidRPr="001249A8">
        <w:rPr>
          <w:lang w:val="pt-PT"/>
        </w:rPr>
        <w:t xml:space="preserve"> livre concorrência</w:t>
      </w:r>
      <w:r w:rsidR="00F0541F" w:rsidRPr="001249A8">
        <w:rPr>
          <w:lang w:val="pt-PT"/>
        </w:rPr>
        <w:t>, enquanto princípio da ordem econômica</w:t>
      </w:r>
      <w:r w:rsidR="00555885" w:rsidRPr="001249A8">
        <w:rPr>
          <w:lang w:val="pt-PT"/>
        </w:rPr>
        <w:t xml:space="preserve"> previsto na Constituição Federal</w:t>
      </w:r>
      <w:r w:rsidR="00F0541F" w:rsidRPr="001249A8">
        <w:rPr>
          <w:lang w:val="pt-PT"/>
        </w:rPr>
        <w:t>:</w:t>
      </w:r>
    </w:p>
    <w:p w14:paraId="3812E306" w14:textId="77777777" w:rsidR="00F0541F" w:rsidRPr="001249A8" w:rsidRDefault="00F0541F" w:rsidP="00F0541F">
      <w:pPr>
        <w:pStyle w:val="NormalWeb"/>
        <w:shd w:val="clear" w:color="auto" w:fill="FFFFFF"/>
        <w:ind w:left="709"/>
        <w:jc w:val="both"/>
        <w:rPr>
          <w:rFonts w:ascii="Book Antiqua" w:hAnsi="Book Antiqua" w:cs="Arial"/>
          <w:i/>
          <w:color w:val="000000"/>
        </w:rPr>
      </w:pPr>
      <w:r w:rsidRPr="001249A8">
        <w:rPr>
          <w:rFonts w:ascii="Book Antiqua" w:hAnsi="Book Antiqua" w:cs="Arial"/>
          <w:i/>
          <w:color w:val="000000"/>
        </w:rPr>
        <w:lastRenderedPageBreak/>
        <w:t>Art. 170. A ordem econômica, fundada na valorização do trabalho humano e na livre iniciativa, tem por fim assegurar a todos existência digna, conforme os ditames da justiça social, observados os seguintes princípios:</w:t>
      </w:r>
    </w:p>
    <w:p w14:paraId="479C20D7" w14:textId="77777777" w:rsidR="00F0541F" w:rsidRPr="001249A8" w:rsidRDefault="00F0541F" w:rsidP="00F0541F">
      <w:pPr>
        <w:pStyle w:val="NormalWeb"/>
        <w:shd w:val="clear" w:color="auto" w:fill="FFFFFF"/>
        <w:ind w:left="709"/>
        <w:jc w:val="both"/>
        <w:rPr>
          <w:rFonts w:ascii="Book Antiqua" w:hAnsi="Book Antiqua" w:cs="Arial"/>
          <w:i/>
          <w:color w:val="000000"/>
        </w:rPr>
      </w:pPr>
      <w:r w:rsidRPr="001249A8">
        <w:rPr>
          <w:rFonts w:ascii="Book Antiqua" w:hAnsi="Book Antiqua" w:cs="Arial"/>
          <w:i/>
          <w:color w:val="000000"/>
        </w:rPr>
        <w:t>(..................................................................)</w:t>
      </w:r>
    </w:p>
    <w:p w14:paraId="4BA4B2C5" w14:textId="77777777" w:rsidR="00F0541F" w:rsidRPr="001249A8" w:rsidRDefault="00F0541F" w:rsidP="00F0541F">
      <w:pPr>
        <w:pStyle w:val="NormalWeb"/>
        <w:shd w:val="clear" w:color="auto" w:fill="FFFFFF"/>
        <w:ind w:firstLine="709"/>
        <w:jc w:val="both"/>
        <w:rPr>
          <w:rFonts w:ascii="Book Antiqua" w:hAnsi="Book Antiqua" w:cs="Arial"/>
          <w:b/>
          <w:color w:val="000000"/>
        </w:rPr>
      </w:pPr>
      <w:r w:rsidRPr="001249A8">
        <w:rPr>
          <w:rFonts w:ascii="Book Antiqua" w:hAnsi="Book Antiqua" w:cs="Arial"/>
          <w:b/>
          <w:i/>
          <w:color w:val="000000"/>
        </w:rPr>
        <w:t>IV – livre concorrência</w:t>
      </w:r>
      <w:r w:rsidRPr="001249A8">
        <w:rPr>
          <w:rFonts w:ascii="Book Antiqua" w:hAnsi="Book Antiqua" w:cs="Arial"/>
          <w:b/>
          <w:color w:val="000000"/>
        </w:rPr>
        <w:t>;</w:t>
      </w:r>
    </w:p>
    <w:p w14:paraId="086B012B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rPr>
          <w:b/>
          <w:lang w:val="pt-PT"/>
        </w:rPr>
        <w:t xml:space="preserve">Por mais essa razão e sempre na hipótese de que fosse o </w:t>
      </w:r>
      <w:r w:rsidR="00555885" w:rsidRPr="001249A8">
        <w:rPr>
          <w:b/>
          <w:lang w:val="pt-PT"/>
        </w:rPr>
        <w:t xml:space="preserve">Distrito Federal competente para </w:t>
      </w:r>
      <w:r w:rsidR="004F53D0" w:rsidRPr="001249A8">
        <w:rPr>
          <w:b/>
          <w:lang w:val="pt-PT"/>
        </w:rPr>
        <w:t>legislar sobre a matéria</w:t>
      </w:r>
      <w:r w:rsidR="00537E19">
        <w:rPr>
          <w:b/>
          <w:lang w:val="pt-PT"/>
        </w:rPr>
        <w:t xml:space="preserve"> (e não </w:t>
      </w:r>
      <w:r w:rsidRPr="001249A8">
        <w:rPr>
          <w:b/>
          <w:lang w:val="pt-PT"/>
        </w:rPr>
        <w:t xml:space="preserve">é), flagrante seria </w:t>
      </w:r>
      <w:r w:rsidR="00537E19">
        <w:rPr>
          <w:b/>
          <w:lang w:val="pt-PT"/>
        </w:rPr>
        <w:t xml:space="preserve">a </w:t>
      </w:r>
      <w:r w:rsidRPr="001249A8">
        <w:rPr>
          <w:b/>
          <w:lang w:val="pt-PT"/>
        </w:rPr>
        <w:t>inconstitucionalidade</w:t>
      </w:r>
      <w:r w:rsidR="00555885" w:rsidRPr="001249A8">
        <w:rPr>
          <w:b/>
          <w:lang w:val="pt-PT"/>
        </w:rPr>
        <w:t xml:space="preserve"> de uma tal interpretação, violando o citado art. 170, IV, do texto constitucional</w:t>
      </w:r>
      <w:r w:rsidRPr="001249A8">
        <w:rPr>
          <w:b/>
          <w:lang w:val="pt-PT"/>
        </w:rPr>
        <w:t>.</w:t>
      </w:r>
    </w:p>
    <w:p w14:paraId="0C187AAF" w14:textId="77777777" w:rsidR="00F0541F" w:rsidRPr="001249A8" w:rsidRDefault="00F0541F" w:rsidP="00F0541F">
      <w:pPr>
        <w:pStyle w:val="Cabealho"/>
        <w:tabs>
          <w:tab w:val="left" w:pos="426"/>
        </w:tabs>
        <w:suppressAutoHyphens/>
        <w:jc w:val="both"/>
      </w:pPr>
    </w:p>
    <w:p w14:paraId="2227378F" w14:textId="77777777" w:rsidR="00F0541F" w:rsidRPr="001249A8" w:rsidRDefault="00F0541F" w:rsidP="00F0541F">
      <w:pPr>
        <w:pStyle w:val="Cabealho"/>
        <w:tabs>
          <w:tab w:val="left" w:pos="426"/>
        </w:tabs>
        <w:suppressAutoHyphens/>
        <w:jc w:val="both"/>
      </w:pPr>
    </w:p>
    <w:p w14:paraId="558B3453" w14:textId="77777777" w:rsidR="00F0541F" w:rsidRPr="001249A8" w:rsidRDefault="00F0541F" w:rsidP="00555885">
      <w:pPr>
        <w:pStyle w:val="PargrafodaLista"/>
        <w:numPr>
          <w:ilvl w:val="0"/>
          <w:numId w:val="6"/>
        </w:numPr>
        <w:jc w:val="both"/>
        <w:rPr>
          <w:rFonts w:eastAsia="Calibri" w:cs="Arial"/>
          <w:b/>
          <w:u w:val="single"/>
        </w:rPr>
      </w:pPr>
      <w:r w:rsidRPr="001249A8">
        <w:rPr>
          <w:rFonts w:eastAsia="Calibri" w:cs="Arial"/>
          <w:b/>
          <w:u w:val="single"/>
        </w:rPr>
        <w:t>Inconstitucionalidade por violação do princípio constitucional da livre iniciativa</w:t>
      </w:r>
    </w:p>
    <w:p w14:paraId="58634A03" w14:textId="77777777" w:rsidR="00F0541F" w:rsidRPr="001249A8" w:rsidRDefault="00F0541F" w:rsidP="00F0541F">
      <w:pPr>
        <w:pStyle w:val="Cabealho"/>
        <w:tabs>
          <w:tab w:val="left" w:pos="426"/>
        </w:tabs>
        <w:suppressAutoHyphens/>
        <w:jc w:val="both"/>
      </w:pPr>
    </w:p>
    <w:p w14:paraId="741B4A93" w14:textId="77777777" w:rsidR="00555885" w:rsidRPr="001249A8" w:rsidRDefault="00555885" w:rsidP="00F0541F">
      <w:pPr>
        <w:pStyle w:val="Cabealho"/>
        <w:tabs>
          <w:tab w:val="left" w:pos="426"/>
        </w:tabs>
        <w:suppressAutoHyphens/>
        <w:jc w:val="both"/>
      </w:pPr>
    </w:p>
    <w:p w14:paraId="5608E269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A imposição de livre e gratuito acesso de </w:t>
      </w:r>
      <w:r w:rsidR="00555885" w:rsidRPr="001249A8">
        <w:t>profissionais externos no estabelecimento</w:t>
      </w:r>
      <w:r w:rsidRPr="001249A8">
        <w:t xml:space="preserve"> viola, por fim, o princípio da livre iniciativa, também insculpido no art. 170 da Constituição Federal (destaques nossos):</w:t>
      </w:r>
    </w:p>
    <w:p w14:paraId="2DE2BD79" w14:textId="77777777" w:rsidR="00555885" w:rsidRPr="001249A8" w:rsidRDefault="00555885" w:rsidP="00555885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6E8B90F0" w14:textId="77777777" w:rsidR="00F0541F" w:rsidRPr="001249A8" w:rsidRDefault="00F0541F" w:rsidP="00555885">
      <w:pPr>
        <w:pStyle w:val="NormalWeb"/>
        <w:shd w:val="clear" w:color="auto" w:fill="FFFFFF"/>
        <w:ind w:left="1134"/>
        <w:jc w:val="both"/>
        <w:rPr>
          <w:rFonts w:ascii="Book Antiqua" w:hAnsi="Book Antiqua" w:cs="Arial"/>
          <w:i/>
          <w:color w:val="000000"/>
        </w:rPr>
      </w:pPr>
      <w:r w:rsidRPr="001249A8">
        <w:rPr>
          <w:rFonts w:ascii="Book Antiqua" w:hAnsi="Book Antiqua" w:cs="Arial"/>
          <w:i/>
          <w:color w:val="000000"/>
        </w:rPr>
        <w:t xml:space="preserve">Art. 170. A ordem econômica, fundada na valorização do trabalho humano </w:t>
      </w:r>
      <w:r w:rsidRPr="001249A8">
        <w:rPr>
          <w:rFonts w:ascii="Book Antiqua" w:hAnsi="Book Antiqua" w:cs="Arial"/>
          <w:b/>
          <w:i/>
          <w:color w:val="000000"/>
        </w:rPr>
        <w:t>e na livre iniciativa</w:t>
      </w:r>
      <w:r w:rsidRPr="001249A8">
        <w:rPr>
          <w:rFonts w:ascii="Book Antiqua" w:hAnsi="Book Antiqua" w:cs="Arial"/>
          <w:i/>
          <w:color w:val="000000"/>
        </w:rPr>
        <w:t>, tem por fim assegurar a todos existência digna, conforme os ditames da justiça social, observados os seguintes princípios:</w:t>
      </w:r>
    </w:p>
    <w:p w14:paraId="7B443A0D" w14:textId="77777777" w:rsidR="00F0541F" w:rsidRPr="001249A8" w:rsidRDefault="00F0541F" w:rsidP="00555885">
      <w:pPr>
        <w:pStyle w:val="NormalWeb"/>
        <w:shd w:val="clear" w:color="auto" w:fill="FFFFFF"/>
        <w:ind w:left="1134"/>
        <w:jc w:val="both"/>
        <w:rPr>
          <w:rFonts w:ascii="Book Antiqua" w:hAnsi="Book Antiqua" w:cs="Arial"/>
          <w:i/>
          <w:color w:val="000000"/>
        </w:rPr>
      </w:pPr>
      <w:r w:rsidRPr="001249A8">
        <w:rPr>
          <w:rFonts w:ascii="Book Antiqua" w:hAnsi="Book Antiqua" w:cs="Arial"/>
          <w:i/>
          <w:color w:val="000000"/>
        </w:rPr>
        <w:t>(......................................................................)</w:t>
      </w:r>
    </w:p>
    <w:p w14:paraId="0373F019" w14:textId="77777777" w:rsidR="00F0541F" w:rsidRPr="001249A8" w:rsidRDefault="00F0541F" w:rsidP="00555885">
      <w:pPr>
        <w:pStyle w:val="NormalWeb"/>
        <w:shd w:val="clear" w:color="auto" w:fill="FFFFFF"/>
        <w:ind w:left="1134"/>
        <w:jc w:val="both"/>
        <w:rPr>
          <w:rFonts w:ascii="Book Antiqua" w:hAnsi="Book Antiqua" w:cs="Arial"/>
          <w:color w:val="000000"/>
        </w:rPr>
      </w:pPr>
      <w:bookmarkStart w:id="3" w:name="art170p"/>
      <w:bookmarkEnd w:id="3"/>
      <w:r w:rsidRPr="001249A8">
        <w:rPr>
          <w:rFonts w:ascii="Book Antiqua" w:hAnsi="Book Antiqua" w:cs="Arial"/>
          <w:i/>
          <w:color w:val="000000"/>
        </w:rPr>
        <w:t xml:space="preserve">Parágrafo único. É assegurado a todos o </w:t>
      </w:r>
      <w:r w:rsidRPr="001249A8">
        <w:rPr>
          <w:rFonts w:ascii="Book Antiqua" w:hAnsi="Book Antiqua" w:cs="Arial"/>
          <w:b/>
          <w:i/>
          <w:color w:val="000000"/>
        </w:rPr>
        <w:t>livre exercício de qualquer atividade econômica</w:t>
      </w:r>
      <w:r w:rsidRPr="001249A8">
        <w:rPr>
          <w:rFonts w:ascii="Book Antiqua" w:hAnsi="Book Antiqua" w:cs="Arial"/>
          <w:i/>
          <w:color w:val="000000"/>
        </w:rPr>
        <w:t>, independentemente de autorização de órgãos públicos, salvo nos casos previstos em lei</w:t>
      </w:r>
      <w:r w:rsidRPr="001249A8">
        <w:rPr>
          <w:rFonts w:ascii="Book Antiqua" w:hAnsi="Book Antiqua" w:cs="Arial"/>
          <w:color w:val="000000"/>
        </w:rPr>
        <w:t>.</w:t>
      </w:r>
    </w:p>
    <w:p w14:paraId="11CEADCD" w14:textId="77777777" w:rsidR="00555885" w:rsidRPr="001249A8" w:rsidRDefault="00555885" w:rsidP="00555885">
      <w:pPr>
        <w:pStyle w:val="NormalWeb"/>
        <w:shd w:val="clear" w:color="auto" w:fill="FFFFFF"/>
        <w:ind w:left="1134"/>
        <w:jc w:val="both"/>
        <w:rPr>
          <w:rFonts w:ascii="Book Antiqua" w:hAnsi="Book Antiqua" w:cs="Arial"/>
          <w:color w:val="000000"/>
        </w:rPr>
      </w:pPr>
    </w:p>
    <w:p w14:paraId="40EE4639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 Corolário da livre iniciativa é a liberdade de contrato, que a doutrina unanimemente reconhece como abrangida pela primeira e com idêntico fundamento constitucional (destaque nosso):</w:t>
      </w:r>
    </w:p>
    <w:p w14:paraId="1008CDC1" w14:textId="77777777" w:rsidR="00F0541F" w:rsidRPr="001249A8" w:rsidRDefault="00F0541F" w:rsidP="00F0541F">
      <w:pPr>
        <w:pStyle w:val="Cabealho"/>
        <w:tabs>
          <w:tab w:val="left" w:pos="426"/>
        </w:tabs>
        <w:suppressAutoHyphens/>
        <w:jc w:val="both"/>
      </w:pPr>
    </w:p>
    <w:p w14:paraId="3CCA1ECF" w14:textId="77777777" w:rsidR="00555885" w:rsidRPr="001249A8" w:rsidRDefault="00555885" w:rsidP="00F0541F">
      <w:pPr>
        <w:pStyle w:val="Cabealho"/>
        <w:tabs>
          <w:tab w:val="left" w:pos="426"/>
        </w:tabs>
        <w:suppressAutoHyphens/>
        <w:jc w:val="both"/>
      </w:pPr>
    </w:p>
    <w:p w14:paraId="310CBFCB" w14:textId="77777777" w:rsidR="00F0541F" w:rsidRPr="001249A8" w:rsidRDefault="00F0541F" w:rsidP="00555885">
      <w:pPr>
        <w:pStyle w:val="Cabealho"/>
        <w:tabs>
          <w:tab w:val="left" w:pos="426"/>
        </w:tabs>
        <w:suppressAutoHyphens/>
        <w:ind w:left="1134"/>
        <w:jc w:val="both"/>
        <w:rPr>
          <w:shd w:val="clear" w:color="auto" w:fill="FFFFFF"/>
        </w:rPr>
      </w:pPr>
      <w:r w:rsidRPr="001249A8">
        <w:rPr>
          <w:i/>
          <w:shd w:val="clear" w:color="auto" w:fill="FFFFFF"/>
        </w:rPr>
        <w:t xml:space="preserve">Esclareça-se, por fim, que a livre iniciativa não compreende, tão-somente, a de empresa, também chamada de comércio ou indústria, </w:t>
      </w:r>
      <w:r w:rsidRPr="001249A8">
        <w:rPr>
          <w:b/>
          <w:i/>
          <w:shd w:val="clear" w:color="auto" w:fill="FFFFFF"/>
        </w:rPr>
        <w:t>mas, igualmente, a de contrato, possuidora, também, de indiscutível caráter constitucional</w:t>
      </w:r>
      <w:r w:rsidRPr="001249A8">
        <w:rPr>
          <w:shd w:val="clear" w:color="auto" w:fill="FFFFFF"/>
        </w:rPr>
        <w:t>.</w:t>
      </w:r>
      <w:r w:rsidRPr="001249A8">
        <w:rPr>
          <w:rStyle w:val="Refdenotaderodap"/>
          <w:shd w:val="clear" w:color="auto" w:fill="FFFFFF"/>
        </w:rPr>
        <w:footnoteReference w:id="7"/>
      </w:r>
    </w:p>
    <w:p w14:paraId="5126AB5B" w14:textId="77777777" w:rsidR="00F0541F" w:rsidRPr="001249A8" w:rsidRDefault="00F0541F" w:rsidP="00F0541F">
      <w:pPr>
        <w:pStyle w:val="Cabealho"/>
        <w:tabs>
          <w:tab w:val="left" w:pos="426"/>
        </w:tabs>
        <w:suppressAutoHyphens/>
        <w:jc w:val="both"/>
      </w:pPr>
    </w:p>
    <w:p w14:paraId="5388AF61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Essa liberdade é exercida em mais de um sentido (destaques nossos):</w:t>
      </w:r>
    </w:p>
    <w:p w14:paraId="3DBCF69A" w14:textId="77777777" w:rsidR="00F0541F" w:rsidRDefault="00F0541F" w:rsidP="00F0541F">
      <w:pPr>
        <w:pStyle w:val="Cabealho"/>
        <w:tabs>
          <w:tab w:val="left" w:pos="426"/>
        </w:tabs>
        <w:suppressAutoHyphens/>
        <w:jc w:val="both"/>
        <w:rPr>
          <w:sz w:val="26"/>
          <w:szCs w:val="26"/>
        </w:rPr>
      </w:pPr>
    </w:p>
    <w:p w14:paraId="154D4E09" w14:textId="77777777" w:rsidR="00F0541F" w:rsidRDefault="00F0541F" w:rsidP="00555885">
      <w:pPr>
        <w:pStyle w:val="Cabealho"/>
        <w:tabs>
          <w:tab w:val="left" w:pos="426"/>
        </w:tabs>
        <w:suppressAutoHyphens/>
        <w:ind w:left="1134"/>
        <w:jc w:val="both"/>
        <w:rPr>
          <w:rFonts w:ascii="Calibri" w:hAnsi="Calibri"/>
          <w:shd w:val="clear" w:color="auto" w:fill="FFFFFF"/>
        </w:rPr>
      </w:pPr>
      <w:r>
        <w:rPr>
          <w:i/>
          <w:shd w:val="clear" w:color="auto" w:fill="FFFFFF"/>
        </w:rPr>
        <w:t xml:space="preserve">A liberdade de contratar envolve: 1) </w:t>
      </w:r>
      <w:r>
        <w:rPr>
          <w:b/>
          <w:i/>
          <w:shd w:val="clear" w:color="auto" w:fill="FFFFFF"/>
        </w:rPr>
        <w:t>a faculdade de ser parte em um contrato</w:t>
      </w:r>
      <w:r>
        <w:rPr>
          <w:i/>
          <w:shd w:val="clear" w:color="auto" w:fill="FFFFFF"/>
        </w:rPr>
        <w:t xml:space="preserve">; 2) </w:t>
      </w:r>
      <w:r>
        <w:rPr>
          <w:b/>
          <w:i/>
          <w:shd w:val="clear" w:color="auto" w:fill="FFFFFF"/>
        </w:rPr>
        <w:t>a faculdade de se escolher com quem realizar o contrato</w:t>
      </w:r>
      <w:r>
        <w:rPr>
          <w:i/>
          <w:shd w:val="clear" w:color="auto" w:fill="FFFFFF"/>
        </w:rPr>
        <w:t xml:space="preserve">; 3) a faculdade de escolher o tipo do negócio a realizar. 4) </w:t>
      </w:r>
      <w:r>
        <w:rPr>
          <w:b/>
          <w:i/>
          <w:shd w:val="clear" w:color="auto" w:fill="FFFFFF"/>
        </w:rPr>
        <w:t>a faculdade de fixar o conteúdo do contrato segundo as convicções e conveniências das partes</w:t>
      </w:r>
      <w:r>
        <w:rPr>
          <w:i/>
          <w:shd w:val="clear" w:color="auto" w:fill="FFFFFF"/>
        </w:rPr>
        <w:t>; e, por fim 5) o poder de acionar o Judiciário para fazer valer as disposições contratuais (garantia estatal da efetividade do contrato por meio da coação</w:t>
      </w:r>
      <w:r>
        <w:rPr>
          <w:rFonts w:ascii="Calibri" w:hAnsi="Calibri"/>
          <w:shd w:val="clear" w:color="auto" w:fill="FFFFFF"/>
        </w:rPr>
        <w:t>).</w:t>
      </w:r>
      <w:r>
        <w:rPr>
          <w:rStyle w:val="Refdenotaderodap"/>
          <w:rFonts w:ascii="Calibri" w:hAnsi="Calibri"/>
          <w:shd w:val="clear" w:color="auto" w:fill="FFFFFF"/>
        </w:rPr>
        <w:footnoteReference w:id="8"/>
      </w:r>
    </w:p>
    <w:p w14:paraId="51B76BD0" w14:textId="77777777" w:rsidR="00F0541F" w:rsidRDefault="00F0541F" w:rsidP="00F0541F">
      <w:pPr>
        <w:pStyle w:val="Cabealho"/>
        <w:tabs>
          <w:tab w:val="left" w:pos="426"/>
        </w:tabs>
        <w:suppressAutoHyphens/>
        <w:jc w:val="both"/>
        <w:rPr>
          <w:sz w:val="26"/>
          <w:szCs w:val="26"/>
        </w:rPr>
      </w:pPr>
      <w:r>
        <w:rPr>
          <w:rFonts w:ascii="Calibri" w:hAnsi="Calibri"/>
          <w:shd w:val="clear" w:color="auto" w:fill="FFFFFF"/>
        </w:rPr>
        <w:t xml:space="preserve">             </w:t>
      </w:r>
    </w:p>
    <w:p w14:paraId="04AFDB6A" w14:textId="77777777" w:rsidR="00F0541F" w:rsidRPr="001249A8" w:rsidRDefault="00555885" w:rsidP="00555885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Interpretação da lei que assegure</w:t>
      </w:r>
      <w:r w:rsidR="00F0541F" w:rsidRPr="001249A8">
        <w:t xml:space="preserve"> o acesso gratuito de prestadores de serviço </w:t>
      </w:r>
      <w:r w:rsidRPr="001249A8">
        <w:t xml:space="preserve">na academia </w:t>
      </w:r>
      <w:r w:rsidR="00F0541F" w:rsidRPr="001249A8">
        <w:t xml:space="preserve">retira </w:t>
      </w:r>
      <w:r w:rsidRPr="001249A8">
        <w:t>desta a liberdade de decidir se deseja celebrar contrato</w:t>
      </w:r>
      <w:r w:rsidR="00F0541F" w:rsidRPr="001249A8">
        <w:t xml:space="preserve"> </w:t>
      </w:r>
      <w:r w:rsidRPr="001249A8">
        <w:t>que permita</w:t>
      </w:r>
      <w:r w:rsidR="00F0541F" w:rsidRPr="001249A8">
        <w:t xml:space="preserve"> a utilização de suas instalações para prestação de serviços por </w:t>
      </w:r>
      <w:r w:rsidRPr="001249A8">
        <w:t xml:space="preserve">tais profissionais, </w:t>
      </w:r>
      <w:r w:rsidR="00537E19">
        <w:t>a</w:t>
      </w:r>
      <w:r w:rsidR="00F0541F" w:rsidRPr="001249A8">
        <w:t xml:space="preserve"> impede de escolher c</w:t>
      </w:r>
      <w:r w:rsidR="00537E19">
        <w:t>om quem ajustará</w:t>
      </w:r>
      <w:r w:rsidRPr="001249A8">
        <w:t xml:space="preserve"> tal permissão e sobretudo</w:t>
      </w:r>
      <w:r w:rsidR="00F0541F" w:rsidRPr="001249A8">
        <w:t xml:space="preserve"> </w:t>
      </w:r>
      <w:r w:rsidR="00F0541F" w:rsidRPr="001249A8">
        <w:rPr>
          <w:b/>
        </w:rPr>
        <w:t>em que termos ela será concedida</w:t>
      </w:r>
      <w:r w:rsidR="00F0541F" w:rsidRPr="001249A8">
        <w:t xml:space="preserve"> – se será cobrada ou não, a que preço, em que limite de horários ou utilização etc.</w:t>
      </w:r>
    </w:p>
    <w:p w14:paraId="6981249B" w14:textId="77777777" w:rsidR="00555885" w:rsidRPr="001249A8" w:rsidRDefault="00555885" w:rsidP="00F0541F">
      <w:pPr>
        <w:pStyle w:val="Cabealho"/>
        <w:tabs>
          <w:tab w:val="left" w:pos="426"/>
        </w:tabs>
        <w:suppressAutoHyphens/>
        <w:jc w:val="both"/>
      </w:pPr>
    </w:p>
    <w:p w14:paraId="1A6649DE" w14:textId="77777777" w:rsidR="00F0541F" w:rsidRPr="001249A8" w:rsidRDefault="00F0541F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t xml:space="preserve">Na prática, uma relação que deveria ser contratual, com a liberdade a ela inerente, passa a ser imposta por lei. </w:t>
      </w:r>
      <w:r w:rsidRPr="001249A8">
        <w:rPr>
          <w:b/>
        </w:rPr>
        <w:t xml:space="preserve">Viola-se, pela via de uma lei </w:t>
      </w:r>
      <w:r w:rsidR="00555885" w:rsidRPr="001249A8">
        <w:rPr>
          <w:b/>
        </w:rPr>
        <w:t>distrital</w:t>
      </w:r>
      <w:r w:rsidRPr="001249A8">
        <w:rPr>
          <w:b/>
        </w:rPr>
        <w:t>, um dos princípios constitucionais da ordem econômica</w:t>
      </w:r>
      <w:r w:rsidR="00555885" w:rsidRPr="001249A8">
        <w:rPr>
          <w:b/>
        </w:rPr>
        <w:t>: o art. 170, “caput” e parágrafo único</w:t>
      </w:r>
      <w:r w:rsidRPr="001249A8">
        <w:rPr>
          <w:b/>
        </w:rPr>
        <w:t>.</w:t>
      </w:r>
    </w:p>
    <w:p w14:paraId="612C9147" w14:textId="77777777" w:rsidR="003C711D" w:rsidRPr="001249A8" w:rsidRDefault="003C711D" w:rsidP="003C711D">
      <w:pPr>
        <w:pStyle w:val="PargrafodaLista"/>
        <w:rPr>
          <w:b/>
        </w:rPr>
      </w:pPr>
    </w:p>
    <w:p w14:paraId="05CE4383" w14:textId="77777777" w:rsidR="003C711D" w:rsidRPr="001249A8" w:rsidRDefault="003C711D" w:rsidP="003C711D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b/>
        </w:rPr>
      </w:pPr>
    </w:p>
    <w:p w14:paraId="5500AF96" w14:textId="77777777" w:rsidR="003C711D" w:rsidRPr="001249A8" w:rsidRDefault="003C711D" w:rsidP="003C711D">
      <w:pPr>
        <w:pStyle w:val="PargrafodaLista"/>
        <w:numPr>
          <w:ilvl w:val="0"/>
          <w:numId w:val="6"/>
        </w:numPr>
        <w:jc w:val="both"/>
        <w:rPr>
          <w:rFonts w:eastAsia="Calibri" w:cs="Arial"/>
          <w:b/>
          <w:u w:val="single"/>
        </w:rPr>
      </w:pPr>
      <w:r w:rsidRPr="001249A8">
        <w:rPr>
          <w:rFonts w:eastAsia="Calibri" w:cs="Arial"/>
          <w:b/>
          <w:u w:val="single"/>
        </w:rPr>
        <w:t>Parecer do Prof. Carlos Ayres Britto</w:t>
      </w:r>
      <w:r w:rsidR="004750C3" w:rsidRPr="001249A8">
        <w:rPr>
          <w:rFonts w:eastAsia="Calibri" w:cs="Arial"/>
          <w:b/>
          <w:u w:val="single"/>
        </w:rPr>
        <w:t>, quanto à inconstitucionalidade de leis e projetos de lei que proíbam cobrança pelo acesso dos profissionais</w:t>
      </w:r>
    </w:p>
    <w:p w14:paraId="165CF3C6" w14:textId="77777777" w:rsidR="003C711D" w:rsidRPr="001249A8" w:rsidRDefault="003C711D" w:rsidP="004750C3">
      <w:pPr>
        <w:pStyle w:val="Cabealho"/>
        <w:tabs>
          <w:tab w:val="left" w:pos="426"/>
          <w:tab w:val="left" w:pos="2552"/>
        </w:tabs>
        <w:suppressAutoHyphens/>
        <w:jc w:val="both"/>
        <w:rPr>
          <w:b/>
        </w:rPr>
      </w:pPr>
    </w:p>
    <w:p w14:paraId="0700A416" w14:textId="77777777" w:rsidR="003C711D" w:rsidRPr="001249A8" w:rsidRDefault="003C711D" w:rsidP="003C711D">
      <w:pPr>
        <w:pStyle w:val="PargrafodaLista"/>
        <w:rPr>
          <w:b/>
        </w:rPr>
      </w:pPr>
    </w:p>
    <w:p w14:paraId="3EA39976" w14:textId="77777777" w:rsidR="003C711D" w:rsidRPr="001249A8" w:rsidRDefault="004750C3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t xml:space="preserve">A par de reconhecidas pelos tribunais, como acima visto, as inconstitucionalidades formais e materiais de normas estaduais, distritais ou municipais que pretendam tolher o direito das academias de cobrar pelo acesso de profissionais de educação física externos acompanhando clientes restaram confirmadas pelo ex-ministro do E. STF e respeitado constitucionalista Prof. Carlos Ayres Britto, em parecer por ele fornecido à ACAD BRASIL Associação Brasileira de Academias e </w:t>
      </w:r>
      <w:r w:rsidR="00243052" w:rsidRPr="001249A8">
        <w:t>cuja conclusão é a de que</w:t>
      </w:r>
      <w:r w:rsidRPr="001249A8">
        <w:t xml:space="preserve"> (doc. junto</w:t>
      </w:r>
      <w:r w:rsidR="00243052" w:rsidRPr="001249A8">
        <w:t>, destaques nossos</w:t>
      </w:r>
      <w:r w:rsidRPr="001249A8">
        <w:t>):</w:t>
      </w:r>
    </w:p>
    <w:p w14:paraId="254329EC" w14:textId="77777777" w:rsidR="004750C3" w:rsidRPr="001249A8" w:rsidRDefault="004750C3" w:rsidP="004750C3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1CAC0559" w14:textId="77777777" w:rsidR="004750C3" w:rsidRPr="001249A8" w:rsidRDefault="00243052" w:rsidP="004750C3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i/>
        </w:rPr>
      </w:pPr>
      <w:r w:rsidRPr="001249A8">
        <w:rPr>
          <w:i/>
        </w:rPr>
        <w:t xml:space="preserve">“(...) leis que tais </w:t>
      </w:r>
      <w:r w:rsidRPr="001249A8">
        <w:rPr>
          <w:b/>
          <w:i/>
        </w:rPr>
        <w:t xml:space="preserve">violam, sim, a competência legislativa que a União detém com privatividade para legislar sobre Direito Civil. Assim como desrespeitam a competência privativa que a mesma União detém para editar normas gerais sobre </w:t>
      </w:r>
      <w:r w:rsidRPr="001249A8">
        <w:rPr>
          <w:b/>
          <w:i/>
        </w:rPr>
        <w:lastRenderedPageBreak/>
        <w:t>relações de consumo</w:t>
      </w:r>
      <w:r w:rsidRPr="001249A8">
        <w:rPr>
          <w:i/>
        </w:rPr>
        <w:t>. Normas gerais de consumo ou de Direito Consumerista, como também se diz com habitualidade, aqui no Brasil”.</w:t>
      </w:r>
    </w:p>
    <w:p w14:paraId="0E55ED2B" w14:textId="77777777" w:rsidR="00243052" w:rsidRPr="00243052" w:rsidRDefault="00243052" w:rsidP="004750C3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i/>
          <w:sz w:val="26"/>
          <w:szCs w:val="26"/>
        </w:rPr>
      </w:pPr>
    </w:p>
    <w:p w14:paraId="11784930" w14:textId="77777777" w:rsidR="00243052" w:rsidRPr="00537E19" w:rsidRDefault="00243052" w:rsidP="004750C3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i/>
        </w:rPr>
      </w:pPr>
      <w:r w:rsidRPr="00537E19">
        <w:rPr>
          <w:i/>
        </w:rPr>
        <w:t xml:space="preserve">“(...) </w:t>
      </w:r>
      <w:r w:rsidRPr="00537E19">
        <w:rPr>
          <w:b/>
          <w:i/>
        </w:rPr>
        <w:t>A Constituição dispôs sobre o princípio fundamental da livre iniciativa e os institutos da propriedade privada e da livre concorrência por um modo tal que, no caso das leis e projetos de lei em foco, resultam invalidamente contrariados</w:t>
      </w:r>
      <w:r w:rsidRPr="00537E19">
        <w:rPr>
          <w:i/>
        </w:rPr>
        <w:t>. Contrariedade que tanto se dá no âmbito das</w:t>
      </w:r>
      <w:r w:rsidRPr="00243052">
        <w:rPr>
          <w:i/>
          <w:sz w:val="26"/>
          <w:szCs w:val="26"/>
        </w:rPr>
        <w:t xml:space="preserve"> </w:t>
      </w:r>
      <w:r w:rsidRPr="00537E19">
        <w:rPr>
          <w:i/>
        </w:rPr>
        <w:t>relações entre as empresas de academia de ginástica e os personal trainers autônomos quanto na esfera das relações entre essas academias e seu público-alvo. Que são os alunos ou pessoas físicas nelas matriculados”.</w:t>
      </w:r>
    </w:p>
    <w:p w14:paraId="4E9C839D" w14:textId="77777777" w:rsidR="00243052" w:rsidRDefault="00243052" w:rsidP="00243052">
      <w:pPr>
        <w:pStyle w:val="Cabealho"/>
        <w:tabs>
          <w:tab w:val="left" w:pos="426"/>
          <w:tab w:val="left" w:pos="2552"/>
        </w:tabs>
        <w:suppressAutoHyphens/>
        <w:jc w:val="both"/>
        <w:rPr>
          <w:sz w:val="26"/>
          <w:szCs w:val="26"/>
        </w:rPr>
      </w:pPr>
    </w:p>
    <w:p w14:paraId="6571FB52" w14:textId="77777777" w:rsidR="00243052" w:rsidRPr="004750C3" w:rsidRDefault="00243052" w:rsidP="004750C3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b/>
          <w:sz w:val="26"/>
          <w:szCs w:val="26"/>
        </w:rPr>
      </w:pPr>
    </w:p>
    <w:p w14:paraId="60C35819" w14:textId="77777777" w:rsidR="004750C3" w:rsidRPr="001249A8" w:rsidRDefault="00794865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  <w:rPr>
          <w:b/>
        </w:rPr>
      </w:pPr>
      <w:r w:rsidRPr="001249A8">
        <w:t>Apontou o ilustre professor, como se vê, ainda outra inconstitucionalidade, na medida em que mesmo sob uma hipotética competência concorrente para legislar sobre consumo, matéria dessa natureza não caberia em legislação suplementar e somente poderia ser tratada em norma geral, cuja competência é novamente da União Federal:</w:t>
      </w:r>
    </w:p>
    <w:p w14:paraId="411792B8" w14:textId="77777777" w:rsidR="00794865" w:rsidRPr="001249A8" w:rsidRDefault="00794865" w:rsidP="00794865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b/>
        </w:rPr>
      </w:pPr>
    </w:p>
    <w:p w14:paraId="40647C4D" w14:textId="77777777" w:rsidR="00794865" w:rsidRPr="001249A8" w:rsidRDefault="00794865" w:rsidP="00DD23D7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i/>
        </w:rPr>
      </w:pPr>
      <w:r w:rsidRPr="001249A8">
        <w:rPr>
          <w:b/>
        </w:rPr>
        <w:t>“</w:t>
      </w:r>
      <w:r w:rsidRPr="001249A8">
        <w:rPr>
          <w:i/>
        </w:rPr>
        <w:t xml:space="preserve">Concluo: em nenhum dos segmentos temáticos do CDC é possível encontrar o germe ou a semente ou o embrião do que seria uma relação de potestade e sujeição, respectivamente, entre fornecedores e consumidores, com o fito de ampliar tanto subjetiva como objetivamente o liame consumerista. Daí o juízo de que as leis e projetos de lei em tela se arvoram o status de normas de aplicação primária ou primeira da Constituição, naquele sentido, já explorado, de relançamento virginal do discurso </w:t>
      </w:r>
      <w:r w:rsidR="00DD23D7" w:rsidRPr="001249A8">
        <w:rPr>
          <w:i/>
        </w:rPr>
        <w:t xml:space="preserve">constitucional. </w:t>
      </w:r>
      <w:r w:rsidR="00DD23D7" w:rsidRPr="001249A8">
        <w:rPr>
          <w:b/>
          <w:i/>
        </w:rPr>
        <w:t>Pretensão que se põe em rota de colisão com os parágrafos 2º e 3º do art. 24 da lei maior, por somente passível de positivação pela via das normas gerais. Normas gerais que são de exclusiva competência da União</w:t>
      </w:r>
      <w:r w:rsidR="001249A8">
        <w:rPr>
          <w:b/>
          <w:i/>
        </w:rPr>
        <w:t>”</w:t>
      </w:r>
      <w:r w:rsidR="00DD23D7" w:rsidRPr="001249A8">
        <w:rPr>
          <w:i/>
        </w:rPr>
        <w:t>.</w:t>
      </w:r>
    </w:p>
    <w:p w14:paraId="6A017F8B" w14:textId="77777777" w:rsidR="00794865" w:rsidRPr="001249A8" w:rsidRDefault="00794865" w:rsidP="00794865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b/>
        </w:rPr>
      </w:pPr>
    </w:p>
    <w:p w14:paraId="5686F513" w14:textId="77777777" w:rsidR="00794865" w:rsidRPr="001249A8" w:rsidRDefault="00794865" w:rsidP="00794865">
      <w:pPr>
        <w:pStyle w:val="Cabealho"/>
        <w:tabs>
          <w:tab w:val="left" w:pos="426"/>
          <w:tab w:val="left" w:pos="2552"/>
        </w:tabs>
        <w:suppressAutoHyphens/>
        <w:ind w:left="1985"/>
        <w:jc w:val="both"/>
        <w:rPr>
          <w:b/>
        </w:rPr>
      </w:pPr>
    </w:p>
    <w:p w14:paraId="1274C43B" w14:textId="77777777" w:rsidR="00794865" w:rsidRPr="001249A8" w:rsidRDefault="00DD23D7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Portanto, interpretação que pretenda validar a proibição de cobrança sob o manto da competência distrital concorrente para legislar sobre consumo, </w:t>
      </w:r>
      <w:r w:rsidRPr="001249A8">
        <w:rPr>
          <w:b/>
        </w:rPr>
        <w:t>além de incorrer nas demais violações já antes apontadas, também ofenderia o art. 24, §§ 2º e 3º da Constituição Federal</w:t>
      </w:r>
      <w:r w:rsidRPr="001249A8">
        <w:t>.</w:t>
      </w:r>
    </w:p>
    <w:p w14:paraId="2498B53F" w14:textId="77777777" w:rsidR="00F0541F" w:rsidRPr="001249A8" w:rsidRDefault="00F0541F" w:rsidP="00555885"/>
    <w:p w14:paraId="116DF301" w14:textId="77777777" w:rsidR="00F0541F" w:rsidRPr="001249A8" w:rsidRDefault="00F0541F" w:rsidP="00555885"/>
    <w:p w14:paraId="42101AEB" w14:textId="77777777" w:rsidR="00F0541F" w:rsidRPr="001249A8" w:rsidRDefault="002B65AC" w:rsidP="00F0541F">
      <w:pPr>
        <w:pStyle w:val="PargrafodaLista"/>
        <w:ind w:left="0" w:firstLine="1985"/>
        <w:rPr>
          <w:b/>
        </w:rPr>
      </w:pPr>
      <w:r w:rsidRPr="001249A8">
        <w:rPr>
          <w:b/>
        </w:rPr>
        <w:t>III</w:t>
      </w:r>
      <w:r w:rsidR="00F0541F" w:rsidRPr="001249A8">
        <w:rPr>
          <w:b/>
        </w:rPr>
        <w:t xml:space="preserve"> – </w:t>
      </w:r>
      <w:r w:rsidR="00555885" w:rsidRPr="001249A8">
        <w:rPr>
          <w:b/>
        </w:rPr>
        <w:t>CONCLUSÃO</w:t>
      </w:r>
    </w:p>
    <w:p w14:paraId="7EE593FE" w14:textId="77777777" w:rsidR="00F0541F" w:rsidRPr="001249A8" w:rsidRDefault="00F0541F" w:rsidP="00F0541F">
      <w:pPr>
        <w:pStyle w:val="PargrafodaLista"/>
      </w:pPr>
    </w:p>
    <w:p w14:paraId="486B6352" w14:textId="77777777" w:rsidR="00F0541F" w:rsidRPr="001249A8" w:rsidRDefault="00F0541F" w:rsidP="00F0541F">
      <w:pPr>
        <w:pStyle w:val="PargrafodaLista"/>
      </w:pPr>
    </w:p>
    <w:p w14:paraId="5ACE17EE" w14:textId="77777777" w:rsidR="00B92990" w:rsidRPr="001249A8" w:rsidRDefault="00555885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Por todas ou qualquer uma das </w:t>
      </w:r>
      <w:r w:rsidR="00B92990" w:rsidRPr="001249A8">
        <w:t xml:space="preserve">fundamentadas </w:t>
      </w:r>
      <w:r w:rsidRPr="001249A8">
        <w:t xml:space="preserve">razões </w:t>
      </w:r>
      <w:r w:rsidR="00B92990" w:rsidRPr="001249A8">
        <w:t xml:space="preserve">de direito </w:t>
      </w:r>
      <w:r w:rsidRPr="001249A8">
        <w:t>acima exp</w:t>
      </w:r>
      <w:r w:rsidR="00B92990" w:rsidRPr="001249A8">
        <w:t>ostas, requer-se seja a pretensão inicial</w:t>
      </w:r>
      <w:r w:rsidRPr="001249A8">
        <w:t xml:space="preserve"> julgada improcedente. </w:t>
      </w:r>
      <w:r w:rsidR="00DD23D7" w:rsidRPr="001249A8">
        <w:t>Interpretaç</w:t>
      </w:r>
      <w:r w:rsidR="00B92990" w:rsidRPr="001249A8">
        <w:t>ão da lei que a acolha</w:t>
      </w:r>
      <w:r w:rsidR="00DD23D7" w:rsidRPr="001249A8">
        <w:t xml:space="preserve"> </w:t>
      </w:r>
      <w:r w:rsidR="00B92990" w:rsidRPr="001249A8">
        <w:t xml:space="preserve">violaria nada menos do que 11 (onze) dispositivos </w:t>
      </w:r>
      <w:r w:rsidR="00B720CB">
        <w:t>da Constituição Federal</w:t>
      </w:r>
      <w:r w:rsidR="00B92990" w:rsidRPr="001249A8">
        <w:t>: art</w:t>
      </w:r>
      <w:r w:rsidR="00DD23D7" w:rsidRPr="001249A8">
        <w:t xml:space="preserve">. 5º, “caput”, inciso II e inciso </w:t>
      </w:r>
      <w:r w:rsidR="00DD23D7" w:rsidRPr="001249A8">
        <w:lastRenderedPageBreak/>
        <w:t xml:space="preserve">XXII, </w:t>
      </w:r>
      <w:r w:rsidR="00B92990" w:rsidRPr="001249A8">
        <w:t xml:space="preserve">art. </w:t>
      </w:r>
      <w:r w:rsidR="00DD23D7" w:rsidRPr="001249A8">
        <w:t xml:space="preserve">22, incisos I e XVI, </w:t>
      </w:r>
      <w:r w:rsidR="00B92990" w:rsidRPr="001249A8">
        <w:t>art. 24, §§ 2º e 3º, e art. 170, “caput”, inciso II, inciso IV e § único.</w:t>
      </w:r>
      <w:r w:rsidR="00B720CB">
        <w:t xml:space="preserve"> Por certo não é corriqueiro deparar com interpretação de lei capaz de violar, simultaneamente, tamanha quantidade de princípios constitucionais.</w:t>
      </w:r>
    </w:p>
    <w:p w14:paraId="2F78E8D1" w14:textId="77777777" w:rsidR="00B92990" w:rsidRPr="001249A8" w:rsidRDefault="00B92990" w:rsidP="00B92990">
      <w:pPr>
        <w:pStyle w:val="Cabealho"/>
        <w:tabs>
          <w:tab w:val="left" w:pos="426"/>
          <w:tab w:val="left" w:pos="2552"/>
        </w:tabs>
        <w:suppressAutoHyphens/>
        <w:ind w:left="1985"/>
        <w:jc w:val="both"/>
      </w:pPr>
    </w:p>
    <w:p w14:paraId="4C886E38" w14:textId="77777777" w:rsidR="00F0541F" w:rsidRDefault="00B92990" w:rsidP="00F0541F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 xml:space="preserve">Mais do que isso, ofenderia o bom senso e a razoabilidade, ao privar o empresário da plena gestão de seu negócio, impedindo-o de controlar e precificar o acesso de outros prestadores de serviço, </w:t>
      </w:r>
      <w:r w:rsidR="001249A8" w:rsidRPr="001249A8">
        <w:t>que se valem da estrutura por ele montada e custeada para atender e angariar clientes particulares.</w:t>
      </w:r>
    </w:p>
    <w:p w14:paraId="28F94172" w14:textId="77777777" w:rsidR="001D78C1" w:rsidRDefault="001D78C1" w:rsidP="001D78C1">
      <w:pPr>
        <w:pStyle w:val="PargrafodaLista"/>
      </w:pPr>
    </w:p>
    <w:p w14:paraId="7D5089DA" w14:textId="77777777" w:rsidR="001D78C1" w:rsidRPr="001D78C1" w:rsidRDefault="001D78C1" w:rsidP="001D78C1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D78C1">
        <w:t>Encerra-se este arrazoado tomando emprestada a eloquência do Prof. Ayres Britto, a quem não deve ter escapado a baixíssima probabilidade de que o acesso gratuito reduzisse o preço que os “personal trainers” cobram de seus clientes:</w:t>
      </w:r>
    </w:p>
    <w:p w14:paraId="15C56F6D" w14:textId="77777777" w:rsidR="001D78C1" w:rsidRDefault="001D78C1" w:rsidP="001D78C1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</w:p>
    <w:p w14:paraId="52506C8F" w14:textId="77777777" w:rsidR="001D78C1" w:rsidRDefault="001D78C1" w:rsidP="00B720CB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  <w:r>
        <w:rPr>
          <w:i/>
        </w:rPr>
        <w:t xml:space="preserve">“(...) o que tencionam as leis e projetos de lei é relegar as empresas de academia de ginástica à condição de meras espectadoras de relações jurídicas alheias (tecidas entre alunos e personal trainers) e desenvolvidas no particular ambiente de negócios delas mesmas, academias. </w:t>
      </w:r>
      <w:r w:rsidRPr="00B720CB">
        <w:rPr>
          <w:b/>
          <w:i/>
        </w:rPr>
        <w:t>Nítida interferência indevida do Estado no domínio econômico, a que bem assenta o irônico ditado popular do “não se deve fazer cortesia com o chapéu alheio”</w:t>
      </w:r>
      <w:r>
        <w:rPr>
          <w:i/>
        </w:rPr>
        <w:t>.</w:t>
      </w:r>
    </w:p>
    <w:p w14:paraId="72617A1F" w14:textId="77777777" w:rsidR="001D78C1" w:rsidRPr="001D78C1" w:rsidRDefault="001D78C1" w:rsidP="001D78C1">
      <w:pPr>
        <w:pStyle w:val="Cabealho"/>
        <w:tabs>
          <w:tab w:val="left" w:pos="426"/>
          <w:tab w:val="left" w:pos="2552"/>
        </w:tabs>
        <w:suppressAutoHyphens/>
        <w:ind w:left="1134"/>
        <w:jc w:val="both"/>
        <w:rPr>
          <w:i/>
        </w:rPr>
      </w:pPr>
    </w:p>
    <w:p w14:paraId="2096DEBD" w14:textId="77777777" w:rsidR="00F0541F" w:rsidRPr="001249A8" w:rsidRDefault="00F0541F" w:rsidP="00F0541F">
      <w:pPr>
        <w:pStyle w:val="PargrafodaLista"/>
      </w:pPr>
    </w:p>
    <w:p w14:paraId="56EBCCA7" w14:textId="77777777" w:rsidR="00F0541F" w:rsidRPr="001249A8" w:rsidRDefault="00555885" w:rsidP="00B720CB">
      <w:pPr>
        <w:pStyle w:val="Cabealho"/>
        <w:numPr>
          <w:ilvl w:val="0"/>
          <w:numId w:val="1"/>
        </w:numPr>
        <w:tabs>
          <w:tab w:val="left" w:pos="426"/>
          <w:tab w:val="left" w:pos="2552"/>
        </w:tabs>
        <w:suppressAutoHyphens/>
        <w:ind w:left="0" w:firstLine="1985"/>
        <w:jc w:val="both"/>
      </w:pPr>
      <w:r w:rsidRPr="001249A8">
        <w:t>Requer-se</w:t>
      </w:r>
      <w:r w:rsidR="00F0541F" w:rsidRPr="001249A8">
        <w:t>-se provar o alegado por todos os meios em direito admitidos, especialmente juntada de documentos, oitiva de teste</w:t>
      </w:r>
      <w:r w:rsidR="00B720CB">
        <w:t>munhas, perícias, vistorias etc, bem como</w:t>
      </w:r>
      <w:r w:rsidR="00F0541F" w:rsidRPr="001249A8">
        <w:t xml:space="preserve"> que as intimações e publicações sejam feitas em nome do </w:t>
      </w:r>
      <w:r w:rsidR="00F0541F" w:rsidRPr="00B720CB">
        <w:rPr>
          <w:b/>
          <w:color w:val="000000"/>
          <w:u w:val="single"/>
        </w:rPr>
        <w:t>Dr.</w:t>
      </w:r>
      <w:r w:rsidRPr="00B720CB">
        <w:rPr>
          <w:b/>
          <w:color w:val="000000"/>
          <w:u w:val="single"/>
        </w:rPr>
        <w:t>______________________</w:t>
      </w:r>
      <w:r w:rsidR="00F0541F" w:rsidRPr="001249A8">
        <w:t>, com escritório situado na</w:t>
      </w:r>
      <w:r w:rsidR="00F0541F" w:rsidRPr="00B720CB">
        <w:rPr>
          <w:rFonts w:cs="Arial"/>
        </w:rPr>
        <w:t xml:space="preserve"> </w:t>
      </w:r>
      <w:r w:rsidRPr="001249A8">
        <w:t>____________________</w:t>
      </w:r>
      <w:r w:rsidR="00F0541F" w:rsidRPr="001249A8">
        <w:t>.</w:t>
      </w:r>
    </w:p>
    <w:p w14:paraId="2F171443" w14:textId="77777777" w:rsidR="00F0541F" w:rsidRPr="001249A8" w:rsidRDefault="00F0541F" w:rsidP="00F0541F">
      <w:pPr>
        <w:tabs>
          <w:tab w:val="left" w:pos="2880"/>
        </w:tabs>
        <w:jc w:val="both"/>
        <w:rPr>
          <w:bCs/>
        </w:rPr>
      </w:pPr>
    </w:p>
    <w:p w14:paraId="23710FE7" w14:textId="77777777" w:rsidR="00F0541F" w:rsidRPr="001249A8" w:rsidRDefault="00F0541F" w:rsidP="00F0541F">
      <w:pPr>
        <w:tabs>
          <w:tab w:val="left" w:pos="2880"/>
        </w:tabs>
        <w:jc w:val="both"/>
        <w:rPr>
          <w:bCs/>
        </w:rPr>
      </w:pPr>
    </w:p>
    <w:p w14:paraId="437BE849" w14:textId="77777777" w:rsidR="00F0541F" w:rsidRPr="001249A8" w:rsidRDefault="00F0541F" w:rsidP="00F0541F">
      <w:pPr>
        <w:tabs>
          <w:tab w:val="left" w:pos="1425"/>
        </w:tabs>
        <w:jc w:val="center"/>
        <w:rPr>
          <w:color w:val="000000"/>
        </w:rPr>
      </w:pPr>
      <w:r w:rsidRPr="001249A8">
        <w:rPr>
          <w:color w:val="000000"/>
        </w:rPr>
        <w:t>Termos em que,</w:t>
      </w:r>
    </w:p>
    <w:p w14:paraId="038B0A6C" w14:textId="77777777" w:rsidR="00F0541F" w:rsidRPr="001249A8" w:rsidRDefault="00555885" w:rsidP="002B65AC">
      <w:pPr>
        <w:tabs>
          <w:tab w:val="left" w:pos="1425"/>
        </w:tabs>
        <w:jc w:val="center"/>
        <w:rPr>
          <w:color w:val="000000"/>
        </w:rPr>
      </w:pPr>
      <w:r w:rsidRPr="001249A8">
        <w:rPr>
          <w:color w:val="000000"/>
        </w:rPr>
        <w:t>P</w:t>
      </w:r>
      <w:r w:rsidR="00F0541F" w:rsidRPr="001249A8">
        <w:rPr>
          <w:color w:val="000000"/>
        </w:rPr>
        <w:t>ede deferimento.</w:t>
      </w:r>
    </w:p>
    <w:sectPr w:rsidR="00F0541F" w:rsidRPr="001249A8" w:rsidSect="00886E79">
      <w:footerReference w:type="default" r:id="rId22"/>
      <w:pgSz w:w="11906" w:h="16838"/>
      <w:pgMar w:top="1417" w:right="1701" w:bottom="1417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2942" w14:textId="77777777" w:rsidR="00171D72" w:rsidRDefault="00171D72" w:rsidP="00F0541F">
      <w:r>
        <w:separator/>
      </w:r>
    </w:p>
  </w:endnote>
  <w:endnote w:type="continuationSeparator" w:id="0">
    <w:p w14:paraId="7E6B43F3" w14:textId="77777777" w:rsidR="00171D72" w:rsidRDefault="00171D72" w:rsidP="00F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869213"/>
      <w:docPartObj>
        <w:docPartGallery w:val="Page Numbers (Bottom of Page)"/>
        <w:docPartUnique/>
      </w:docPartObj>
    </w:sdtPr>
    <w:sdtEndPr/>
    <w:sdtContent>
      <w:p w14:paraId="0AF7EB2C" w14:textId="48C76644" w:rsidR="006C783A" w:rsidRPr="006C783A" w:rsidRDefault="00886E79" w:rsidP="006C783A">
        <w:pPr>
          <w:jc w:val="center"/>
          <w:rPr>
            <w:b/>
            <w:i/>
            <w:iCs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283A7E6" wp14:editId="661B05B0">
              <wp:simplePos x="0" y="0"/>
              <wp:positionH relativeFrom="margin">
                <wp:posOffset>342900</wp:posOffset>
              </wp:positionH>
              <wp:positionV relativeFrom="paragraph">
                <wp:posOffset>-137160</wp:posOffset>
              </wp:positionV>
              <wp:extent cx="1227455" cy="400050"/>
              <wp:effectExtent l="0" t="0" r="0" b="0"/>
              <wp:wrapNone/>
              <wp:docPr id="5" name="Imagem 5" descr="Uma imagem contendo Diagra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Uma imagem contendo Diagrama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759" b="15539"/>
                      <a:stretch/>
                    </pic:blipFill>
                    <pic:spPr bwMode="auto">
                      <a:xfrm>
                        <a:off x="0" y="0"/>
                        <a:ext cx="1227455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6C783A" w:rsidRPr="006C783A">
          <w:t xml:space="preserve"> </w:t>
        </w:r>
        <w:r w:rsidR="006C783A" w:rsidRPr="006C783A">
          <w:rPr>
            <w:b/>
            <w:i/>
            <w:iCs/>
            <w:sz w:val="18"/>
            <w:szCs w:val="18"/>
          </w:rPr>
          <w:t>Reprodução do conteúdo livre e autorizada</w:t>
        </w:r>
      </w:p>
      <w:p w14:paraId="2DDE4135" w14:textId="2E846A10" w:rsidR="00243052" w:rsidRPr="006C783A" w:rsidRDefault="006C783A" w:rsidP="00886E79">
        <w:pPr>
          <w:pStyle w:val="Rodap"/>
          <w:rPr>
            <w:sz w:val="16"/>
            <w:szCs w:val="16"/>
          </w:rPr>
        </w:pPr>
        <w:r w:rsidRPr="006C783A">
          <w:rPr>
            <w:sz w:val="28"/>
            <w:szCs w:val="28"/>
          </w:rPr>
          <w:t xml:space="preserve"> </w:t>
        </w:r>
      </w:p>
      <w:p w14:paraId="42784BEC" w14:textId="63EA5A26" w:rsidR="00243052" w:rsidRDefault="0024305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40F1" w14:textId="77777777" w:rsidR="00171D72" w:rsidRDefault="00171D72" w:rsidP="00F0541F">
      <w:bookmarkStart w:id="0" w:name="_Hlk106866418"/>
      <w:bookmarkEnd w:id="0"/>
      <w:r>
        <w:separator/>
      </w:r>
    </w:p>
  </w:footnote>
  <w:footnote w:type="continuationSeparator" w:id="0">
    <w:p w14:paraId="340A4DA8" w14:textId="77777777" w:rsidR="00171D72" w:rsidRDefault="00171D72" w:rsidP="00F0541F">
      <w:r>
        <w:continuationSeparator/>
      </w:r>
    </w:p>
  </w:footnote>
  <w:footnote w:id="1">
    <w:p w14:paraId="69469F8C" w14:textId="77777777" w:rsidR="00243052" w:rsidRDefault="00243052" w:rsidP="00DE6641">
      <w:pPr>
        <w:pStyle w:val="Ttulo2"/>
        <w:spacing w:before="0" w:after="0" w:line="240" w:lineRule="auto"/>
        <w:rPr>
          <w:rFonts w:ascii="Book Antiqua" w:hAnsi="Book Antiqua"/>
          <w:b w:val="0"/>
          <w:i w:val="0"/>
          <w:sz w:val="20"/>
          <w:szCs w:val="20"/>
        </w:rPr>
      </w:pPr>
      <w:r w:rsidRPr="00DE6641">
        <w:rPr>
          <w:rStyle w:val="Refdenotaderodap"/>
          <w:rFonts w:ascii="Book Antiqua" w:hAnsi="Book Antiqua"/>
          <w:b w:val="0"/>
          <w:i w:val="0"/>
          <w:sz w:val="20"/>
          <w:szCs w:val="20"/>
        </w:rPr>
        <w:footnoteRef/>
      </w:r>
      <w:r w:rsidRPr="00DE6641">
        <w:rPr>
          <w:rFonts w:ascii="Book Antiqua" w:hAnsi="Book Antiqua"/>
          <w:b w:val="0"/>
          <w:i w:val="0"/>
          <w:sz w:val="20"/>
          <w:szCs w:val="20"/>
        </w:rPr>
        <w:t xml:space="preserve"> </w:t>
      </w:r>
      <w:r>
        <w:rPr>
          <w:rFonts w:ascii="Book Antiqua" w:hAnsi="Book Antiqua"/>
          <w:b w:val="0"/>
          <w:i w:val="0"/>
          <w:sz w:val="20"/>
          <w:szCs w:val="20"/>
        </w:rPr>
        <w:t>“</w:t>
      </w:r>
      <w:r w:rsidRPr="00DE6641">
        <w:rPr>
          <w:rFonts w:ascii="Book Antiqua" w:hAnsi="Book Antiqua"/>
          <w:b w:val="0"/>
          <w:i w:val="0"/>
          <w:sz w:val="20"/>
          <w:szCs w:val="20"/>
        </w:rPr>
        <w:t>Conceito jurídico indeterminado, interpretação da lei, processo e suposto poder discricionário do magistrado</w:t>
      </w:r>
      <w:r>
        <w:rPr>
          <w:rFonts w:ascii="Book Antiqua" w:hAnsi="Book Antiqua"/>
          <w:b w:val="0"/>
          <w:i w:val="0"/>
          <w:sz w:val="20"/>
          <w:szCs w:val="20"/>
        </w:rPr>
        <w:t xml:space="preserve">” – Jus.com.br </w:t>
      </w:r>
    </w:p>
    <w:p w14:paraId="5563AE67" w14:textId="77777777" w:rsidR="00243052" w:rsidRPr="00DE6641" w:rsidRDefault="00243052" w:rsidP="00DE6641">
      <w:pPr>
        <w:pStyle w:val="Ttulo2"/>
        <w:spacing w:before="0" w:after="0" w:line="240" w:lineRule="auto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>(</w:t>
      </w:r>
      <w:r w:rsidRPr="00DE6641">
        <w:rPr>
          <w:rFonts w:ascii="Book Antiqua" w:hAnsi="Book Antiqua"/>
          <w:b w:val="0"/>
          <w:i w:val="0"/>
          <w:sz w:val="20"/>
          <w:szCs w:val="20"/>
        </w:rPr>
        <w:t>https://jus.com.br/artigos/6674/conceito-juridico-indeterminado-interpretacao-da-lei-processo-e-suposto-poder-discricionario-do-magistrado</w:t>
      </w:r>
      <w:r>
        <w:rPr>
          <w:rFonts w:ascii="Book Antiqua" w:hAnsi="Book Antiqua"/>
          <w:b w:val="0"/>
          <w:i w:val="0"/>
          <w:sz w:val="20"/>
          <w:szCs w:val="20"/>
        </w:rPr>
        <w:t>)</w:t>
      </w:r>
    </w:p>
    <w:p w14:paraId="6C267883" w14:textId="77777777" w:rsidR="00243052" w:rsidRDefault="00243052">
      <w:pPr>
        <w:pStyle w:val="Textodenotaderodap"/>
      </w:pPr>
    </w:p>
  </w:footnote>
  <w:footnote w:id="2">
    <w:p w14:paraId="1AEA244A" w14:textId="77777777" w:rsidR="00243052" w:rsidRDefault="00243052" w:rsidP="009E5AB3">
      <w:pPr>
        <w:pStyle w:val="Textodenotaderodap"/>
        <w:jc w:val="both"/>
        <w:rPr>
          <w:rStyle w:val="markedcontent"/>
        </w:rPr>
      </w:pPr>
      <w:r>
        <w:rPr>
          <w:rStyle w:val="Refdenotaderodap"/>
        </w:rPr>
        <w:footnoteRef/>
      </w:r>
      <w:r>
        <w:t xml:space="preserve"> “</w:t>
      </w:r>
      <w:r w:rsidRPr="009E5AB3">
        <w:rPr>
          <w:rStyle w:val="markedcontent"/>
        </w:rPr>
        <w:t>O argumento da intenção</w:t>
      </w:r>
      <w:r>
        <w:rPr>
          <w:rStyle w:val="markedcontent"/>
        </w:rPr>
        <w:t xml:space="preserve"> </w:t>
      </w:r>
      <w:r w:rsidRPr="009E5AB3">
        <w:rPr>
          <w:rStyle w:val="markedcontent"/>
        </w:rPr>
        <w:t>do legislador</w:t>
      </w:r>
      <w:r>
        <w:t xml:space="preserve"> - </w:t>
      </w:r>
      <w:r w:rsidRPr="009E5AB3">
        <w:rPr>
          <w:rStyle w:val="markedcontent"/>
        </w:rPr>
        <w:t>Anotações teóricas sobre uso e significado</w:t>
      </w:r>
      <w:r>
        <w:rPr>
          <w:rStyle w:val="markedcontent"/>
        </w:rPr>
        <w:t>”</w:t>
      </w:r>
    </w:p>
    <w:p w14:paraId="237EF789" w14:textId="77777777" w:rsidR="00243052" w:rsidRPr="009E5AB3" w:rsidRDefault="00243052" w:rsidP="009E5AB3">
      <w:pPr>
        <w:pStyle w:val="Textodenotaderodap"/>
        <w:jc w:val="both"/>
      </w:pPr>
      <w:r>
        <w:t>(</w:t>
      </w:r>
      <w:r w:rsidRPr="009E5AB3">
        <w:t>https://www12.senado.leg.br/ril/edicoes/58/232/ril_v58_n232_p167.pdf</w:t>
      </w:r>
      <w:r>
        <w:t>)</w:t>
      </w:r>
    </w:p>
  </w:footnote>
  <w:footnote w:id="3">
    <w:p w14:paraId="58EB15A4" w14:textId="77777777" w:rsidR="00243052" w:rsidRDefault="0024305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91682">
        <w:rPr>
          <w:rFonts w:eastAsiaTheme="minorHAnsi" w:cs="Verdana"/>
          <w:lang w:eastAsia="en-US"/>
        </w:rPr>
        <w:t>Mandado de Segurança nº 2015001</w:t>
      </w:r>
      <w:r w:rsidRPr="00591682">
        <w:rPr>
          <w:rFonts w:eastAsiaTheme="minorHAnsi" w:cs="Verdana,Bold"/>
          <w:b/>
          <w:bCs/>
          <w:lang w:eastAsia="en-US"/>
        </w:rPr>
        <w:t>27477</w:t>
      </w:r>
    </w:p>
  </w:footnote>
  <w:footnote w:id="4">
    <w:p w14:paraId="4DAA0A5F" w14:textId="77777777" w:rsidR="00243052" w:rsidRPr="00D02B02" w:rsidRDefault="00243052" w:rsidP="00D02B0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02B02">
        <w:t xml:space="preserve">ADI: 01996684520178090000, Relator: CARLOS HIPOLITO ESCHER, Data de Julgamento: 19/02/2018, Corte Especial, Data </w:t>
      </w:r>
      <w:r>
        <w:t>de Publicação: DJ de 19/02/2018</w:t>
      </w:r>
    </w:p>
    <w:p w14:paraId="0F5CB788" w14:textId="77777777" w:rsidR="00243052" w:rsidRDefault="00243052">
      <w:pPr>
        <w:pStyle w:val="Textodenotaderodap"/>
      </w:pPr>
    </w:p>
  </w:footnote>
  <w:footnote w:id="5">
    <w:p w14:paraId="72F987C9" w14:textId="77777777" w:rsidR="00243052" w:rsidRPr="00822C8A" w:rsidRDefault="0024305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22C8A">
        <w:t>ADI: 6423 AC 0092689-76.2020.1.00.0000, Relator: EDSON FACHIN, Data de Julgamento: 21/12/2020, Tribunal Pleno, Data de Publicação: 12/02/2021</w:t>
      </w:r>
    </w:p>
  </w:footnote>
  <w:footnote w:id="6">
    <w:p w14:paraId="69DB30BD" w14:textId="77777777" w:rsidR="00243052" w:rsidRDefault="0024305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Incidente De Arguição de Inconstitucionalidade Cível 0029180-03.2019.8.26.0000; Relator (a): Salles Rossi; Órgão Julgador: Órgão Especial; Foro de Guarujá - Vara da Fazenda Pública; Data do Julgamento: 21/08/2019; Data de Registro: 23/08/2019</w:t>
      </w:r>
    </w:p>
  </w:footnote>
  <w:footnote w:id="7">
    <w:p w14:paraId="18E9B348" w14:textId="77777777" w:rsidR="00243052" w:rsidRPr="00555885" w:rsidRDefault="00243052" w:rsidP="00F0541F">
      <w:pPr>
        <w:pStyle w:val="Ttulo2"/>
        <w:shd w:val="clear" w:color="auto" w:fill="FFFFFF"/>
        <w:spacing w:before="0" w:after="0" w:line="240" w:lineRule="auto"/>
        <w:rPr>
          <w:rFonts w:ascii="Book Antiqua" w:hAnsi="Book Antiqua"/>
          <w:b w:val="0"/>
          <w:bCs w:val="0"/>
          <w:i w:val="0"/>
          <w:sz w:val="20"/>
          <w:szCs w:val="20"/>
        </w:rPr>
      </w:pPr>
      <w:r w:rsidRPr="00555885">
        <w:rPr>
          <w:rStyle w:val="Refdenotaderodap"/>
          <w:rFonts w:ascii="Book Antiqua" w:hAnsi="Book Antiqua"/>
          <w:sz w:val="20"/>
          <w:szCs w:val="20"/>
        </w:rPr>
        <w:footnoteRef/>
      </w:r>
      <w:r w:rsidRPr="00555885">
        <w:rPr>
          <w:rFonts w:ascii="Book Antiqua" w:hAnsi="Book Antiqua"/>
          <w:sz w:val="20"/>
          <w:szCs w:val="20"/>
        </w:rPr>
        <w:t xml:space="preserve"> </w:t>
      </w:r>
      <w:r w:rsidRPr="00555885">
        <w:rPr>
          <w:rFonts w:ascii="Book Antiqua" w:hAnsi="Book Antiqua"/>
          <w:b w:val="0"/>
          <w:i w:val="0"/>
          <w:sz w:val="20"/>
          <w:szCs w:val="20"/>
          <w:shd w:val="clear" w:color="auto" w:fill="FFFFFF"/>
        </w:rPr>
        <w:t>Carlyle Popp, Samuel Paulino Tono.</w:t>
      </w:r>
      <w:r w:rsidRPr="00555885">
        <w:rPr>
          <w:rFonts w:ascii="Book Antiqua" w:hAnsi="Book Antiqua"/>
          <w:b w:val="0"/>
          <w:i w:val="0"/>
          <w:color w:val="3A382C"/>
          <w:sz w:val="20"/>
          <w:szCs w:val="20"/>
          <w:shd w:val="clear" w:color="auto" w:fill="FFFFFF"/>
        </w:rPr>
        <w:t xml:space="preserve"> </w:t>
      </w:r>
      <w:r w:rsidRPr="00555885">
        <w:rPr>
          <w:rFonts w:ascii="Book Antiqua" w:hAnsi="Book Antiqua"/>
          <w:b w:val="0"/>
          <w:bCs w:val="0"/>
          <w:sz w:val="20"/>
          <w:szCs w:val="20"/>
        </w:rPr>
        <w:t>Liberdade e contrato no âmbito da atividade empresarial.</w:t>
      </w:r>
      <w:r w:rsidRPr="00555885">
        <w:rPr>
          <w:rFonts w:ascii="Book Antiqua" w:hAnsi="Book Antiqua"/>
          <w:b w:val="0"/>
          <w:bCs w:val="0"/>
          <w:i w:val="0"/>
          <w:sz w:val="20"/>
          <w:szCs w:val="20"/>
        </w:rPr>
        <w:t xml:space="preserve"> http://www.ambito-juridico.com.br/</w:t>
      </w:r>
    </w:p>
    <w:p w14:paraId="588F84DB" w14:textId="77777777" w:rsidR="00243052" w:rsidRDefault="00243052" w:rsidP="00F0541F">
      <w:pPr>
        <w:pStyle w:val="Textodenotaderodap"/>
      </w:pPr>
    </w:p>
  </w:footnote>
  <w:footnote w:id="8">
    <w:p w14:paraId="14E8AC23" w14:textId="77777777" w:rsidR="00243052" w:rsidRPr="00243052" w:rsidRDefault="00243052" w:rsidP="00F0541F">
      <w:pPr>
        <w:pStyle w:val="Ttulo1"/>
        <w:shd w:val="clear" w:color="auto" w:fill="FFFFFF"/>
        <w:spacing w:before="72" w:after="90"/>
        <w:rPr>
          <w:rFonts w:ascii="Book Antiqua" w:hAnsi="Book Antiqua"/>
          <w:b w:val="0"/>
          <w:sz w:val="20"/>
          <w:szCs w:val="20"/>
        </w:rPr>
      </w:pPr>
      <w:r w:rsidRPr="00243052">
        <w:rPr>
          <w:rStyle w:val="Refdenotaderodap"/>
          <w:rFonts w:ascii="Book Antiqua" w:hAnsi="Book Antiqua"/>
          <w:b w:val="0"/>
          <w:sz w:val="20"/>
          <w:szCs w:val="20"/>
        </w:rPr>
        <w:footnoteRef/>
      </w:r>
      <w:r w:rsidRPr="00243052">
        <w:rPr>
          <w:rFonts w:ascii="Book Antiqua" w:hAnsi="Book Antiqua"/>
          <w:b w:val="0"/>
          <w:sz w:val="20"/>
          <w:szCs w:val="20"/>
        </w:rPr>
        <w:t xml:space="preserve"> </w:t>
      </w:r>
      <w:hyperlink r:id="rId1" w:tooltip="Acesse o perfil de J. Miguel Lobato Gómez" w:history="1">
        <w:r w:rsidRPr="00243052">
          <w:rPr>
            <w:rStyle w:val="Hyperlink"/>
            <w:rFonts w:ascii="Book Antiqua" w:hAnsi="Book Antiqua"/>
            <w:b w:val="0"/>
            <w:color w:val="auto"/>
            <w:spacing w:val="15"/>
            <w:sz w:val="20"/>
            <w:szCs w:val="20"/>
            <w:u w:val="none"/>
            <w:shd w:val="clear" w:color="auto" w:fill="FFFFFF"/>
          </w:rPr>
          <w:t>J. Miguel Lobato Gómez</w:t>
        </w:r>
      </w:hyperlink>
      <w:r w:rsidRPr="00243052">
        <w:rPr>
          <w:rFonts w:ascii="Book Antiqua" w:hAnsi="Book Antiqua"/>
          <w:b w:val="0"/>
          <w:sz w:val="20"/>
          <w:szCs w:val="20"/>
        </w:rPr>
        <w:t>. Autonomia privada e liberdade contratual. Jus.com.br</w:t>
      </w:r>
    </w:p>
    <w:p w14:paraId="3D2087BE" w14:textId="77777777" w:rsidR="00243052" w:rsidRDefault="00243052" w:rsidP="00F0541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48C9"/>
    <w:multiLevelType w:val="hybridMultilevel"/>
    <w:tmpl w:val="09D0DA78"/>
    <w:lvl w:ilvl="0" w:tplc="F064F21A">
      <w:start w:val="1"/>
      <w:numFmt w:val="decimal"/>
      <w:lvlText w:val="%1."/>
      <w:lvlJc w:val="left"/>
      <w:pPr>
        <w:ind w:left="2219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3C25"/>
    <w:multiLevelType w:val="hybridMultilevel"/>
    <w:tmpl w:val="A97C8406"/>
    <w:lvl w:ilvl="0" w:tplc="7F88FDFE">
      <w:start w:val="1"/>
      <w:numFmt w:val="lowerRoman"/>
      <w:lvlText w:val="(%1)"/>
      <w:lvlJc w:val="left"/>
      <w:pPr>
        <w:ind w:left="1429" w:hanging="72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551003"/>
    <w:multiLevelType w:val="hybridMultilevel"/>
    <w:tmpl w:val="F0C2C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0E79"/>
    <w:multiLevelType w:val="hybridMultilevel"/>
    <w:tmpl w:val="745EADFE"/>
    <w:lvl w:ilvl="0" w:tplc="9E7C786E">
      <w:start w:val="2"/>
      <w:numFmt w:val="upp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397CC6"/>
    <w:multiLevelType w:val="hybridMultilevel"/>
    <w:tmpl w:val="6FE6592C"/>
    <w:lvl w:ilvl="0" w:tplc="3EAA54B0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7FA8121C"/>
    <w:multiLevelType w:val="hybridMultilevel"/>
    <w:tmpl w:val="91C003E2"/>
    <w:lvl w:ilvl="0" w:tplc="BFC43592">
      <w:start w:val="4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854031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6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942033">
    <w:abstractNumId w:val="2"/>
  </w:num>
  <w:num w:numId="4" w16cid:durableId="16967936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632253">
    <w:abstractNumId w:val="4"/>
  </w:num>
  <w:num w:numId="6" w16cid:durableId="1201867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F"/>
    <w:rsid w:val="00032762"/>
    <w:rsid w:val="00064F00"/>
    <w:rsid w:val="00106688"/>
    <w:rsid w:val="001249A8"/>
    <w:rsid w:val="00143AB3"/>
    <w:rsid w:val="00171D72"/>
    <w:rsid w:val="00176691"/>
    <w:rsid w:val="001D78C1"/>
    <w:rsid w:val="00243052"/>
    <w:rsid w:val="002B65AC"/>
    <w:rsid w:val="00311814"/>
    <w:rsid w:val="00331986"/>
    <w:rsid w:val="00366682"/>
    <w:rsid w:val="003A7B7F"/>
    <w:rsid w:val="003B1CCD"/>
    <w:rsid w:val="003C711D"/>
    <w:rsid w:val="00440293"/>
    <w:rsid w:val="00443B20"/>
    <w:rsid w:val="004750C3"/>
    <w:rsid w:val="004C74B2"/>
    <w:rsid w:val="004F53D0"/>
    <w:rsid w:val="00537E19"/>
    <w:rsid w:val="00555885"/>
    <w:rsid w:val="00591682"/>
    <w:rsid w:val="005B530B"/>
    <w:rsid w:val="00667DD2"/>
    <w:rsid w:val="006B2DF5"/>
    <w:rsid w:val="006C783A"/>
    <w:rsid w:val="006E2F53"/>
    <w:rsid w:val="007210FD"/>
    <w:rsid w:val="00785465"/>
    <w:rsid w:val="00794865"/>
    <w:rsid w:val="007E65FB"/>
    <w:rsid w:val="00822C8A"/>
    <w:rsid w:val="00830731"/>
    <w:rsid w:val="008859F4"/>
    <w:rsid w:val="00886E79"/>
    <w:rsid w:val="00965BAF"/>
    <w:rsid w:val="009E3B36"/>
    <w:rsid w:val="009E5AB3"/>
    <w:rsid w:val="00A37186"/>
    <w:rsid w:val="00B466FB"/>
    <w:rsid w:val="00B720CB"/>
    <w:rsid w:val="00B849C8"/>
    <w:rsid w:val="00B92990"/>
    <w:rsid w:val="00C308EF"/>
    <w:rsid w:val="00D02B02"/>
    <w:rsid w:val="00D6351D"/>
    <w:rsid w:val="00DD23D7"/>
    <w:rsid w:val="00DD6E4C"/>
    <w:rsid w:val="00DE1B56"/>
    <w:rsid w:val="00DE6641"/>
    <w:rsid w:val="00E46E30"/>
    <w:rsid w:val="00EA0144"/>
    <w:rsid w:val="00EC4B1C"/>
    <w:rsid w:val="00ED07B0"/>
    <w:rsid w:val="00F0541F"/>
    <w:rsid w:val="00F24C1C"/>
    <w:rsid w:val="00F81CAC"/>
    <w:rsid w:val="00FC0F32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F7FB3"/>
  <w15:chartTrackingRefBased/>
  <w15:docId w15:val="{8AB84B98-913E-4A6B-9BC2-AFB10183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1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541F"/>
    <w:pPr>
      <w:keepNext/>
      <w:spacing w:before="240" w:after="60" w:line="36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0541F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10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10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541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0541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Hyperlink">
    <w:name w:val="Hyperlink"/>
    <w:uiPriority w:val="99"/>
    <w:semiHidden/>
    <w:unhideWhenUsed/>
    <w:rsid w:val="00F05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41F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54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541F"/>
    <w:rPr>
      <w:rFonts w:ascii="Book Antiqua" w:eastAsia="Times New Roman" w:hAnsi="Book Antiqu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541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541F"/>
    <w:rPr>
      <w:rFonts w:ascii="Book Antiqua" w:eastAsia="Times New Roman" w:hAnsi="Book Antiqu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541F"/>
    <w:pPr>
      <w:ind w:left="708"/>
    </w:pPr>
  </w:style>
  <w:style w:type="character" w:styleId="Refdenotaderodap">
    <w:name w:val="footnote reference"/>
    <w:uiPriority w:val="99"/>
    <w:semiHidden/>
    <w:unhideWhenUsed/>
    <w:rsid w:val="00F0541F"/>
    <w:rPr>
      <w:vertAlign w:val="superscript"/>
    </w:rPr>
  </w:style>
  <w:style w:type="character" w:customStyle="1" w:styleId="apple-converted-space">
    <w:name w:val="apple-converted-space"/>
    <w:basedOn w:val="Fontepargpadro"/>
    <w:rsid w:val="00F0541F"/>
  </w:style>
  <w:style w:type="character" w:styleId="Forte">
    <w:name w:val="Strong"/>
    <w:basedOn w:val="Fontepargpadro"/>
    <w:uiPriority w:val="22"/>
    <w:qFormat/>
    <w:rsid w:val="00F0541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10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10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label">
    <w:name w:val="label"/>
    <w:basedOn w:val="Fontepargpadro"/>
    <w:rsid w:val="007210FD"/>
  </w:style>
  <w:style w:type="character" w:customStyle="1" w:styleId="destaque">
    <w:name w:val="destaque"/>
    <w:basedOn w:val="Fontepargpadro"/>
    <w:rsid w:val="007210FD"/>
  </w:style>
  <w:style w:type="character" w:customStyle="1" w:styleId="markedcontent">
    <w:name w:val="markedcontent"/>
    <w:basedOn w:val="Fontepargpadro"/>
    <w:rsid w:val="00311814"/>
  </w:style>
  <w:style w:type="paragraph" w:styleId="Rodap">
    <w:name w:val="footer"/>
    <w:basedOn w:val="Normal"/>
    <w:link w:val="RodapChar"/>
    <w:uiPriority w:val="99"/>
    <w:unhideWhenUsed/>
    <w:rsid w:val="00B849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9C8"/>
    <w:rPr>
      <w:rFonts w:ascii="Book Antiqua" w:eastAsia="Times New Roman" w:hAnsi="Book Antiqu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5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5AC"/>
    <w:rPr>
      <w:rFonts w:ascii="Segoe UI" w:eastAsia="Times New Roman" w:hAnsi="Segoe UI" w:cs="Segoe UI"/>
      <w:sz w:val="18"/>
      <w:szCs w:val="18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D78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D78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la.ibge.gov.br/busca-online-cnae.html?view=secao&amp;tipo=cnae&amp;versao=7&amp;secao=R&amp;chave=academia%20de%20gin&#225;stica" TargetMode="External"/><Relationship Id="rId13" Type="http://schemas.openxmlformats.org/officeDocument/2006/relationships/hyperlink" Target="https://concla.ibge.gov.br/busca-online-cnae.html?view=grupo&amp;tipo=cnae&amp;versao=7&amp;grupo=861" TargetMode="External"/><Relationship Id="rId18" Type="http://schemas.openxmlformats.org/officeDocument/2006/relationships/hyperlink" Target="https://concla.ibge.gov.br/busca-online-cnae.html?view=grupo&amp;tipo=cnae&amp;versao=7&amp;grupo=8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cnae.ibge.gov.br/?view=classe&amp;tipo=cnae&amp;versao=10&amp;classe=931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cla.ibge.gov.br/busca-online-cnae.html?view=secao&amp;tipo=cnae&amp;versao=7&amp;secao=Q" TargetMode="External"/><Relationship Id="rId17" Type="http://schemas.openxmlformats.org/officeDocument/2006/relationships/hyperlink" Target="https://concla.ibge.gov.br/busca-online-cnae.html?view=grupo&amp;tipo=cnae&amp;versao=7&amp;grupo=8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cla.ibge.gov.br/busca-online-cnae.html?view=grupo&amp;tipo=cnae&amp;versao=7&amp;grupo=864" TargetMode="External"/><Relationship Id="rId20" Type="http://schemas.openxmlformats.org/officeDocument/2006/relationships/hyperlink" Target="https://cnae.ibge.gov.br/?view=subclasse&amp;tipo=cnae&amp;versao=9&amp;subclasse=86500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cla.ibge.gov.br/busca-online-cnae.html?view=subclasse&amp;tipo=cnae&amp;versao=7&amp;subclasse=9313100&amp;chave=academia%20de%20gin&#225;stic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ncla.ibge.gov.br/busca-online-cnae.html?view=grupo&amp;tipo=cnae&amp;versao=7&amp;grupo=8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cla.ibge.gov.br/busca-online-cnae.html?view=grupo&amp;tipo=cnae&amp;versao=7&amp;grupo=931&amp;chave=academia%20de%20gin&#225;stica" TargetMode="External"/><Relationship Id="rId19" Type="http://schemas.openxmlformats.org/officeDocument/2006/relationships/hyperlink" Target="https://concla.ibge.gov.br/busca-online-cnae.html?view=grupo&amp;tipo=cnae&amp;versao=7&amp;grupo=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la.ibge.gov.br/busca-online-cnae.html?view=divisao&amp;tipo=cnae&amp;versao=7&amp;divisao=93&amp;chave=academia%20de%20gin&#225;stica" TargetMode="External"/><Relationship Id="rId14" Type="http://schemas.openxmlformats.org/officeDocument/2006/relationships/hyperlink" Target="https://concla.ibge.gov.br/busca-online-cnae.html?view=grupo&amp;tipo=cnae&amp;versao=7&amp;grupo=86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jus.com.br/947554-j-miguel-lobato-gomez/publicaco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6630-717A-4DB7-8960-F20824ED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19</Pages>
  <Words>6422</Words>
  <Characters>34684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ANDREA RODRIGUES</cp:lastModifiedBy>
  <cp:revision>4</cp:revision>
  <cp:lastPrinted>2022-06-22T22:06:00Z</cp:lastPrinted>
  <dcterms:created xsi:type="dcterms:W3CDTF">2022-06-23T10:50:00Z</dcterms:created>
  <dcterms:modified xsi:type="dcterms:W3CDTF">2022-06-23T14:56:00Z</dcterms:modified>
</cp:coreProperties>
</file>